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C2A0E" w14:textId="77777777" w:rsidR="003F4B2F" w:rsidRDefault="003F4B2F"/>
    <w:tbl>
      <w:tblPr>
        <w:tblW w:w="10785" w:type="dxa"/>
        <w:tblInd w:w="-612" w:type="dxa"/>
        <w:tblLayout w:type="fixed"/>
        <w:tblLook w:val="01E0" w:firstRow="1" w:lastRow="1" w:firstColumn="1" w:lastColumn="1" w:noHBand="0" w:noVBand="0"/>
      </w:tblPr>
      <w:tblGrid>
        <w:gridCol w:w="4320"/>
        <w:gridCol w:w="6465"/>
      </w:tblGrid>
      <w:tr w:rsidR="003F4B2F" w14:paraId="42B08FEB" w14:textId="77777777" w:rsidTr="00CE4A28">
        <w:trPr>
          <w:trHeight w:val="817"/>
        </w:trPr>
        <w:tc>
          <w:tcPr>
            <w:tcW w:w="10785" w:type="dxa"/>
            <w:gridSpan w:val="2"/>
            <w:tcBorders>
              <w:top w:val="thinThickSmallGap" w:sz="24" w:space="0" w:color="000000"/>
              <w:left w:val="thinThickSmallGap" w:sz="24" w:space="0" w:color="000000"/>
              <w:bottom w:val="single" w:sz="4" w:space="0" w:color="000000"/>
              <w:right w:val="thinThickSmallGap" w:sz="24" w:space="0" w:color="000000"/>
            </w:tcBorders>
            <w:shd w:val="clear" w:color="auto" w:fill="auto"/>
          </w:tcPr>
          <w:p w14:paraId="3AB62A70" w14:textId="77777777" w:rsidR="003F4B2F" w:rsidRDefault="00961D61">
            <w:pPr>
              <w:widowControl w:val="0"/>
              <w:tabs>
                <w:tab w:val="left" w:pos="3832"/>
              </w:tabs>
              <w:jc w:val="center"/>
              <w:rPr>
                <w:b/>
                <w:sz w:val="22"/>
                <w:szCs w:val="22"/>
              </w:rPr>
            </w:pPr>
            <w:r>
              <w:rPr>
                <w:b/>
                <w:sz w:val="22"/>
                <w:szCs w:val="22"/>
              </w:rPr>
              <w:t>OBRAZAC</w:t>
            </w:r>
          </w:p>
          <w:p w14:paraId="7986CBDF" w14:textId="77777777" w:rsidR="003F4B2F" w:rsidRDefault="00961D61">
            <w:pPr>
              <w:widowControl w:val="0"/>
              <w:jc w:val="center"/>
              <w:rPr>
                <w:b/>
                <w:sz w:val="22"/>
                <w:szCs w:val="22"/>
              </w:rPr>
            </w:pPr>
            <w:r>
              <w:rPr>
                <w:b/>
                <w:sz w:val="22"/>
                <w:szCs w:val="22"/>
              </w:rPr>
              <w:t>izvješća o provedenom savjetovanju s javnošću</w:t>
            </w:r>
          </w:p>
          <w:p w14:paraId="43482B43" w14:textId="77777777" w:rsidR="003F4B2F" w:rsidRDefault="003F4B2F">
            <w:pPr>
              <w:widowControl w:val="0"/>
              <w:rPr>
                <w:sz w:val="22"/>
                <w:szCs w:val="22"/>
              </w:rPr>
            </w:pPr>
          </w:p>
        </w:tc>
      </w:tr>
      <w:tr w:rsidR="003F4B2F" w14:paraId="01B2FDF9" w14:textId="77777777" w:rsidTr="00CE4A28">
        <w:trPr>
          <w:trHeight w:val="500"/>
        </w:trPr>
        <w:tc>
          <w:tcPr>
            <w:tcW w:w="4320" w:type="dxa"/>
            <w:tcBorders>
              <w:top w:val="single" w:sz="4" w:space="0" w:color="000000"/>
              <w:left w:val="thinThickSmallGap" w:sz="24" w:space="0" w:color="000000"/>
              <w:bottom w:val="single" w:sz="4" w:space="0" w:color="000000"/>
              <w:right w:val="single" w:sz="4" w:space="0" w:color="000000"/>
            </w:tcBorders>
            <w:shd w:val="clear" w:color="auto" w:fill="auto"/>
            <w:vAlign w:val="center"/>
          </w:tcPr>
          <w:p w14:paraId="0A8DF767" w14:textId="77777777" w:rsidR="003F4B2F" w:rsidRDefault="00961D61">
            <w:pPr>
              <w:widowControl w:val="0"/>
              <w:rPr>
                <w:b/>
                <w:sz w:val="22"/>
                <w:szCs w:val="22"/>
              </w:rPr>
            </w:pPr>
            <w:r>
              <w:rPr>
                <w:b/>
                <w:sz w:val="22"/>
                <w:szCs w:val="22"/>
              </w:rPr>
              <w:t xml:space="preserve">Naziv nacrta odluke ili drugog općeg akta o kojem je savjetovanje provedeno </w:t>
            </w:r>
          </w:p>
        </w:tc>
        <w:tc>
          <w:tcPr>
            <w:tcW w:w="6465" w:type="dxa"/>
            <w:tcBorders>
              <w:top w:val="single" w:sz="4" w:space="0" w:color="000000"/>
              <w:left w:val="single" w:sz="4" w:space="0" w:color="000000"/>
              <w:bottom w:val="single" w:sz="4" w:space="0" w:color="000000"/>
              <w:right w:val="thinThickSmallGap" w:sz="24" w:space="0" w:color="000000"/>
            </w:tcBorders>
            <w:shd w:val="clear" w:color="auto" w:fill="auto"/>
            <w:vAlign w:val="center"/>
          </w:tcPr>
          <w:p w14:paraId="0358D368" w14:textId="1E90842B" w:rsidR="003F4B2F" w:rsidRDefault="00961D61">
            <w:pPr>
              <w:widowControl w:val="0"/>
              <w:jc w:val="both"/>
              <w:rPr>
                <w:sz w:val="22"/>
                <w:szCs w:val="22"/>
              </w:rPr>
            </w:pPr>
            <w:r>
              <w:rPr>
                <w:color w:val="000000"/>
                <w:sz w:val="22"/>
                <w:szCs w:val="22"/>
              </w:rPr>
              <w:t xml:space="preserve">Nacrt prijedloga Odluke </w:t>
            </w:r>
            <w:r w:rsidR="00411C17" w:rsidRPr="00411C17">
              <w:rPr>
                <w:color w:val="000000"/>
                <w:sz w:val="22"/>
                <w:szCs w:val="22"/>
              </w:rPr>
              <w:t>o izmjenama Odluke o osnivanju mjesnih odbora</w:t>
            </w:r>
          </w:p>
        </w:tc>
      </w:tr>
      <w:tr w:rsidR="003F4B2F" w14:paraId="2452E900" w14:textId="77777777" w:rsidTr="00CE4A28">
        <w:trPr>
          <w:trHeight w:val="932"/>
        </w:trPr>
        <w:tc>
          <w:tcPr>
            <w:tcW w:w="4320" w:type="dxa"/>
            <w:tcBorders>
              <w:top w:val="single" w:sz="4" w:space="0" w:color="000000"/>
              <w:left w:val="thinThickSmallGap" w:sz="24" w:space="0" w:color="000000"/>
              <w:bottom w:val="single" w:sz="4" w:space="0" w:color="000000"/>
              <w:right w:val="single" w:sz="4" w:space="0" w:color="000000"/>
            </w:tcBorders>
            <w:shd w:val="clear" w:color="auto" w:fill="auto"/>
            <w:vAlign w:val="center"/>
          </w:tcPr>
          <w:p w14:paraId="4AC5EDFB" w14:textId="77777777" w:rsidR="003F4B2F" w:rsidRDefault="00961D61">
            <w:pPr>
              <w:widowControl w:val="0"/>
              <w:rPr>
                <w:b/>
                <w:sz w:val="22"/>
                <w:szCs w:val="22"/>
              </w:rPr>
            </w:pPr>
            <w:r>
              <w:rPr>
                <w:b/>
                <w:sz w:val="22"/>
                <w:szCs w:val="22"/>
              </w:rPr>
              <w:t>Nositelj izrade nacrta akta (gradsko upravno tijelo koje je provelo savjetovanje)</w:t>
            </w:r>
          </w:p>
        </w:tc>
        <w:tc>
          <w:tcPr>
            <w:tcW w:w="6465" w:type="dxa"/>
            <w:tcBorders>
              <w:top w:val="single" w:sz="4" w:space="0" w:color="000000"/>
              <w:left w:val="single" w:sz="4" w:space="0" w:color="000000"/>
              <w:bottom w:val="single" w:sz="4" w:space="0" w:color="000000"/>
              <w:right w:val="thinThickSmallGap" w:sz="24" w:space="0" w:color="000000"/>
            </w:tcBorders>
            <w:shd w:val="clear" w:color="auto" w:fill="auto"/>
            <w:vAlign w:val="center"/>
          </w:tcPr>
          <w:p w14:paraId="26479CB1" w14:textId="77777777" w:rsidR="003F4B2F" w:rsidRDefault="00961D61">
            <w:pPr>
              <w:widowControl w:val="0"/>
              <w:jc w:val="both"/>
              <w:rPr>
                <w:sz w:val="22"/>
                <w:szCs w:val="22"/>
              </w:rPr>
            </w:pPr>
            <w:r>
              <w:rPr>
                <w:sz w:val="22"/>
                <w:szCs w:val="22"/>
              </w:rPr>
              <w:t xml:space="preserve">Gradski ured za mjesnu samoupravu, promet, civilnu zaštitu i sigurnost </w:t>
            </w:r>
          </w:p>
        </w:tc>
      </w:tr>
      <w:tr w:rsidR="003F4B2F" w14:paraId="1425A935" w14:textId="77777777" w:rsidTr="00CE4A28">
        <w:trPr>
          <w:trHeight w:val="561"/>
        </w:trPr>
        <w:tc>
          <w:tcPr>
            <w:tcW w:w="4320" w:type="dxa"/>
            <w:tcBorders>
              <w:top w:val="single" w:sz="4" w:space="0" w:color="000000"/>
              <w:left w:val="thinThickSmallGap" w:sz="24" w:space="0" w:color="000000"/>
              <w:bottom w:val="single" w:sz="4" w:space="0" w:color="000000"/>
              <w:right w:val="single" w:sz="4" w:space="0" w:color="000000"/>
            </w:tcBorders>
            <w:shd w:val="clear" w:color="auto" w:fill="auto"/>
            <w:vAlign w:val="center"/>
          </w:tcPr>
          <w:p w14:paraId="1BC16F68" w14:textId="77777777" w:rsidR="003F4B2F" w:rsidRDefault="00961D61">
            <w:pPr>
              <w:widowControl w:val="0"/>
              <w:jc w:val="both"/>
              <w:rPr>
                <w:b/>
                <w:sz w:val="22"/>
                <w:szCs w:val="22"/>
              </w:rPr>
            </w:pPr>
            <w:r>
              <w:rPr>
                <w:b/>
                <w:sz w:val="22"/>
                <w:szCs w:val="22"/>
              </w:rPr>
              <w:t>Vrijeme trajanja savjetovanja</w:t>
            </w:r>
          </w:p>
        </w:tc>
        <w:tc>
          <w:tcPr>
            <w:tcW w:w="6465" w:type="dxa"/>
            <w:tcBorders>
              <w:top w:val="single" w:sz="4" w:space="0" w:color="000000"/>
              <w:left w:val="single" w:sz="4" w:space="0" w:color="000000"/>
              <w:bottom w:val="single" w:sz="4" w:space="0" w:color="000000"/>
              <w:right w:val="thinThickSmallGap" w:sz="24" w:space="0" w:color="000000"/>
            </w:tcBorders>
            <w:shd w:val="clear" w:color="auto" w:fill="auto"/>
            <w:vAlign w:val="center"/>
          </w:tcPr>
          <w:p w14:paraId="66DBAA6B" w14:textId="6F2E8173" w:rsidR="003F4B2F" w:rsidRDefault="00961D61">
            <w:pPr>
              <w:widowControl w:val="0"/>
              <w:rPr>
                <w:b/>
                <w:sz w:val="22"/>
                <w:szCs w:val="22"/>
              </w:rPr>
            </w:pPr>
            <w:r>
              <w:rPr>
                <w:b/>
                <w:sz w:val="22"/>
                <w:szCs w:val="22"/>
              </w:rPr>
              <w:t xml:space="preserve">Od </w:t>
            </w:r>
            <w:r w:rsidR="00411C17" w:rsidRPr="00411C17">
              <w:rPr>
                <w:b/>
                <w:sz w:val="22"/>
                <w:szCs w:val="22"/>
              </w:rPr>
              <w:t>3. listopada do 1. studenoga</w:t>
            </w:r>
            <w:r>
              <w:rPr>
                <w:b/>
                <w:sz w:val="22"/>
                <w:szCs w:val="22"/>
              </w:rPr>
              <w:t xml:space="preserve"> 2024.</w:t>
            </w:r>
          </w:p>
        </w:tc>
      </w:tr>
      <w:tr w:rsidR="003F4B2F" w14:paraId="337C6F52" w14:textId="77777777" w:rsidTr="00CE4A28">
        <w:trPr>
          <w:trHeight w:val="561"/>
        </w:trPr>
        <w:tc>
          <w:tcPr>
            <w:tcW w:w="4320" w:type="dxa"/>
            <w:tcBorders>
              <w:top w:val="single" w:sz="4" w:space="0" w:color="000000"/>
              <w:left w:val="thinThickSmallGap" w:sz="24" w:space="0" w:color="000000"/>
              <w:bottom w:val="thinThickSmallGap" w:sz="24" w:space="0" w:color="000000"/>
              <w:right w:val="single" w:sz="4" w:space="0" w:color="000000"/>
            </w:tcBorders>
            <w:shd w:val="clear" w:color="auto" w:fill="auto"/>
            <w:vAlign w:val="center"/>
          </w:tcPr>
          <w:p w14:paraId="03D92409" w14:textId="77777777" w:rsidR="003F4B2F" w:rsidRDefault="00961D61">
            <w:pPr>
              <w:widowControl w:val="0"/>
              <w:jc w:val="both"/>
              <w:rPr>
                <w:b/>
                <w:sz w:val="22"/>
                <w:szCs w:val="22"/>
              </w:rPr>
            </w:pPr>
            <w:r>
              <w:rPr>
                <w:b/>
                <w:sz w:val="22"/>
                <w:szCs w:val="22"/>
              </w:rPr>
              <w:t xml:space="preserve">Metoda savjetovanja </w:t>
            </w:r>
          </w:p>
        </w:tc>
        <w:tc>
          <w:tcPr>
            <w:tcW w:w="6465" w:type="dxa"/>
            <w:tcBorders>
              <w:top w:val="single" w:sz="4" w:space="0" w:color="000000"/>
              <w:left w:val="single" w:sz="4" w:space="0" w:color="000000"/>
              <w:bottom w:val="thinThickSmallGap" w:sz="24" w:space="0" w:color="000000"/>
              <w:right w:val="thinThickSmallGap" w:sz="24" w:space="0" w:color="000000"/>
            </w:tcBorders>
            <w:shd w:val="clear" w:color="auto" w:fill="auto"/>
            <w:vAlign w:val="center"/>
          </w:tcPr>
          <w:p w14:paraId="3C480F36" w14:textId="77777777" w:rsidR="003F4B2F" w:rsidRDefault="00961D61">
            <w:pPr>
              <w:widowControl w:val="0"/>
              <w:jc w:val="both"/>
              <w:rPr>
                <w:b/>
                <w:sz w:val="22"/>
                <w:szCs w:val="22"/>
              </w:rPr>
            </w:pPr>
            <w:r>
              <w:rPr>
                <w:b/>
                <w:sz w:val="22"/>
                <w:szCs w:val="22"/>
              </w:rPr>
              <w:t>Internetsko savjetovanje</w:t>
            </w:r>
          </w:p>
        </w:tc>
      </w:tr>
    </w:tbl>
    <w:p w14:paraId="47C77B6C" w14:textId="77777777" w:rsidR="003F4B2F" w:rsidRDefault="003F4B2F">
      <w:pPr>
        <w:rPr>
          <w:sz w:val="22"/>
          <w:szCs w:val="22"/>
        </w:rPr>
      </w:pPr>
    </w:p>
    <w:tbl>
      <w:tblPr>
        <w:tblW w:w="10774" w:type="dxa"/>
        <w:tblInd w:w="-612" w:type="dxa"/>
        <w:tblLayout w:type="fixed"/>
        <w:tblLook w:val="01E0" w:firstRow="1" w:lastRow="1" w:firstColumn="1" w:lastColumn="1" w:noHBand="0" w:noVBand="0"/>
      </w:tblPr>
      <w:tblGrid>
        <w:gridCol w:w="720"/>
        <w:gridCol w:w="1805"/>
        <w:gridCol w:w="1161"/>
        <w:gridCol w:w="4536"/>
        <w:gridCol w:w="2552"/>
      </w:tblGrid>
      <w:tr w:rsidR="003F4B2F" w14:paraId="32C6AABE" w14:textId="77777777" w:rsidTr="00275D9F">
        <w:tc>
          <w:tcPr>
            <w:tcW w:w="720" w:type="dxa"/>
            <w:tcBorders>
              <w:top w:val="thinThickSmallGap" w:sz="24" w:space="0" w:color="000000"/>
              <w:left w:val="thinThickSmallGap" w:sz="24" w:space="0" w:color="000000"/>
              <w:bottom w:val="single" w:sz="4" w:space="0" w:color="000000"/>
              <w:right w:val="single" w:sz="4" w:space="0" w:color="000000"/>
            </w:tcBorders>
            <w:shd w:val="clear" w:color="auto" w:fill="auto"/>
            <w:vAlign w:val="center"/>
          </w:tcPr>
          <w:p w14:paraId="4AD6C7E2" w14:textId="77777777" w:rsidR="003F4B2F" w:rsidRDefault="00961D61">
            <w:pPr>
              <w:widowControl w:val="0"/>
              <w:jc w:val="center"/>
              <w:rPr>
                <w:sz w:val="22"/>
                <w:szCs w:val="22"/>
              </w:rPr>
            </w:pPr>
            <w:r>
              <w:rPr>
                <w:sz w:val="22"/>
                <w:szCs w:val="22"/>
              </w:rPr>
              <w:t>Red. br.</w:t>
            </w:r>
          </w:p>
        </w:tc>
        <w:tc>
          <w:tcPr>
            <w:tcW w:w="1805" w:type="dxa"/>
            <w:tcBorders>
              <w:top w:val="thinThickSmallGap" w:sz="24" w:space="0" w:color="000000"/>
              <w:left w:val="single" w:sz="4" w:space="0" w:color="000000"/>
              <w:bottom w:val="single" w:sz="4" w:space="0" w:color="000000"/>
              <w:right w:val="single" w:sz="4" w:space="0" w:color="000000"/>
            </w:tcBorders>
            <w:shd w:val="clear" w:color="auto" w:fill="auto"/>
            <w:vAlign w:val="center"/>
          </w:tcPr>
          <w:p w14:paraId="2CBF074A" w14:textId="77777777" w:rsidR="003F4B2F" w:rsidRDefault="00961D61">
            <w:pPr>
              <w:widowControl w:val="0"/>
              <w:rPr>
                <w:sz w:val="22"/>
                <w:szCs w:val="22"/>
              </w:rPr>
            </w:pPr>
            <w:r>
              <w:rPr>
                <w:sz w:val="22"/>
                <w:szCs w:val="22"/>
              </w:rPr>
              <w:t>Predstavnici  javnosti (pojedinac, organizacija, institucija)</w:t>
            </w:r>
          </w:p>
        </w:tc>
        <w:tc>
          <w:tcPr>
            <w:tcW w:w="1161" w:type="dxa"/>
            <w:tcBorders>
              <w:top w:val="thinThickSmallGap" w:sz="24" w:space="0" w:color="000000"/>
              <w:left w:val="single" w:sz="4" w:space="0" w:color="000000"/>
              <w:bottom w:val="single" w:sz="4" w:space="0" w:color="000000"/>
              <w:right w:val="single" w:sz="4" w:space="0" w:color="000000"/>
            </w:tcBorders>
            <w:shd w:val="clear" w:color="auto" w:fill="auto"/>
            <w:vAlign w:val="center"/>
          </w:tcPr>
          <w:p w14:paraId="378761B9" w14:textId="77777777" w:rsidR="003F4B2F" w:rsidRDefault="00961D61">
            <w:pPr>
              <w:widowControl w:val="0"/>
              <w:rPr>
                <w:sz w:val="22"/>
                <w:szCs w:val="22"/>
              </w:rPr>
            </w:pPr>
            <w:r>
              <w:rPr>
                <w:sz w:val="22"/>
                <w:szCs w:val="22"/>
              </w:rPr>
              <w:t>Članak na koji se odnosi primjedba/</w:t>
            </w:r>
          </w:p>
          <w:p w14:paraId="5FBCC6C1" w14:textId="77777777" w:rsidR="003F4B2F" w:rsidRDefault="00961D61">
            <w:pPr>
              <w:widowControl w:val="0"/>
              <w:jc w:val="center"/>
              <w:rPr>
                <w:sz w:val="22"/>
                <w:szCs w:val="22"/>
              </w:rPr>
            </w:pPr>
            <w:r>
              <w:rPr>
                <w:sz w:val="22"/>
                <w:szCs w:val="22"/>
              </w:rPr>
              <w:t>prijedlog</w:t>
            </w:r>
          </w:p>
        </w:tc>
        <w:tc>
          <w:tcPr>
            <w:tcW w:w="4536" w:type="dxa"/>
            <w:tcBorders>
              <w:top w:val="thinThickSmallGap" w:sz="24" w:space="0" w:color="000000"/>
              <w:left w:val="single" w:sz="4" w:space="0" w:color="000000"/>
              <w:bottom w:val="single" w:sz="4" w:space="0" w:color="000000"/>
              <w:right w:val="single" w:sz="4" w:space="0" w:color="000000"/>
            </w:tcBorders>
            <w:shd w:val="clear" w:color="auto" w:fill="auto"/>
            <w:vAlign w:val="center"/>
          </w:tcPr>
          <w:p w14:paraId="6821BE11" w14:textId="77777777" w:rsidR="003F4B2F" w:rsidRDefault="00961D61">
            <w:pPr>
              <w:widowControl w:val="0"/>
              <w:jc w:val="center"/>
              <w:rPr>
                <w:sz w:val="22"/>
                <w:szCs w:val="22"/>
              </w:rPr>
            </w:pPr>
            <w:r>
              <w:rPr>
                <w:sz w:val="22"/>
                <w:szCs w:val="22"/>
              </w:rPr>
              <w:t>Tekst primjedbe/</w:t>
            </w:r>
          </w:p>
          <w:p w14:paraId="718577DA" w14:textId="77777777" w:rsidR="003F4B2F" w:rsidRDefault="00961D61">
            <w:pPr>
              <w:widowControl w:val="0"/>
              <w:jc w:val="center"/>
              <w:rPr>
                <w:sz w:val="22"/>
                <w:szCs w:val="22"/>
              </w:rPr>
            </w:pPr>
            <w:r>
              <w:rPr>
                <w:sz w:val="22"/>
                <w:szCs w:val="22"/>
              </w:rPr>
              <w:t>prijedloga</w:t>
            </w:r>
          </w:p>
        </w:tc>
        <w:tc>
          <w:tcPr>
            <w:tcW w:w="2552" w:type="dxa"/>
            <w:tcBorders>
              <w:top w:val="thinThickSmallGap" w:sz="24" w:space="0" w:color="000000"/>
              <w:left w:val="single" w:sz="4" w:space="0" w:color="000000"/>
              <w:bottom w:val="single" w:sz="4" w:space="0" w:color="000000"/>
              <w:right w:val="thinThickSmallGap" w:sz="24" w:space="0" w:color="000000"/>
            </w:tcBorders>
            <w:shd w:val="clear" w:color="auto" w:fill="auto"/>
            <w:vAlign w:val="center"/>
          </w:tcPr>
          <w:p w14:paraId="2853D2B1" w14:textId="77777777" w:rsidR="003F4B2F" w:rsidRDefault="00961D61">
            <w:pPr>
              <w:widowControl w:val="0"/>
              <w:jc w:val="center"/>
              <w:rPr>
                <w:sz w:val="22"/>
                <w:szCs w:val="22"/>
              </w:rPr>
            </w:pPr>
            <w:r>
              <w:rPr>
                <w:sz w:val="22"/>
                <w:szCs w:val="22"/>
              </w:rPr>
              <w:t>Prihvaćanje/ neprihvaćanje primjedbe/ prijedloga sa obrazloženjem</w:t>
            </w:r>
          </w:p>
        </w:tc>
      </w:tr>
      <w:tr w:rsidR="003F4B2F" w14:paraId="3029DEF7" w14:textId="77777777" w:rsidTr="00275D9F">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4710C0C9" w14:textId="08FE72B2" w:rsidR="003F4B2F" w:rsidRDefault="006A5CC6" w:rsidP="006A5CC6">
            <w:pPr>
              <w:widowControl w:val="0"/>
              <w:jc w:val="right"/>
              <w:rPr>
                <w:sz w:val="22"/>
                <w:szCs w:val="22"/>
              </w:rPr>
            </w:pPr>
            <w:r>
              <w:rPr>
                <w:sz w:val="22"/>
                <w:szCs w:val="22"/>
              </w:rPr>
              <w:t>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44BFBF51" w14:textId="3B810A31" w:rsidR="003F4B2F" w:rsidRDefault="00B60659">
            <w:pPr>
              <w:widowControl w:val="0"/>
              <w:rPr>
                <w:sz w:val="22"/>
                <w:szCs w:val="22"/>
              </w:rPr>
            </w:pPr>
            <w:r>
              <w:rPr>
                <w:sz w:val="22"/>
                <w:szCs w:val="22"/>
              </w:rPr>
              <w:t>GČ Trnje</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01C666BD" w14:textId="66F6CCF6" w:rsidR="003F4B2F" w:rsidRDefault="00B60659">
            <w:pPr>
              <w:widowControl w:val="0"/>
              <w:rPr>
                <w:sz w:val="22"/>
                <w:szCs w:val="22"/>
              </w:rPr>
            </w:pPr>
            <w:r>
              <w:rPr>
                <w:sz w:val="22"/>
                <w:szCs w:val="22"/>
              </w:rPr>
              <w:t>Članak 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30260AF" w14:textId="77777777" w:rsidR="00B60659" w:rsidRPr="007366EE" w:rsidRDefault="00B60659" w:rsidP="00B60659">
            <w:r>
              <w:t xml:space="preserve">Vezano uz prijedlog spajanja, VMO Cvjetnica i VMO Vrbik pozitivno su izglasali za </w:t>
            </w:r>
            <w:proofErr w:type="spellStart"/>
            <w:r>
              <w:t>okrupnivanje</w:t>
            </w:r>
            <w:proofErr w:type="spellEnd"/>
            <w:r>
              <w:t xml:space="preserve"> tri mjesna odbora zajedno sa VMO </w:t>
            </w:r>
            <w:proofErr w:type="spellStart"/>
            <w:r>
              <w:t>Miramare</w:t>
            </w:r>
            <w:proofErr w:type="spellEnd"/>
            <w:r>
              <w:t xml:space="preserve">, međutim VMO </w:t>
            </w:r>
            <w:proofErr w:type="spellStart"/>
            <w:r>
              <w:t>Miramare</w:t>
            </w:r>
            <w:proofErr w:type="spellEnd"/>
            <w:r>
              <w:t xml:space="preserve"> nije dao pozitivno mišljenje. </w:t>
            </w:r>
          </w:p>
          <w:p w14:paraId="5D43E793" w14:textId="77777777" w:rsidR="00B60659" w:rsidRDefault="00B60659" w:rsidP="00B60659">
            <w:r>
              <w:t>Kad se napravi prostorna, povijesna, urbanistička, prometna, sociološka, kulturna i demografska analiza - radi se o prostoru na tri mjesna odbora koji se naziva Vrbikom. Radi se o prostornoj cjelini (sa spajanjem sva tri mjesna odbora) od 6.183 stanovnika, odnosno 76,85 hektara površine.</w:t>
            </w:r>
          </w:p>
          <w:p w14:paraId="1117CF9E" w14:textId="77777777" w:rsidR="00B60659" w:rsidRDefault="00B60659" w:rsidP="00B60659">
            <w:r>
              <w:t xml:space="preserve">Stanovnici </w:t>
            </w:r>
            <w:proofErr w:type="spellStart"/>
            <w:r>
              <w:t>Miramarea</w:t>
            </w:r>
            <w:proofErr w:type="spellEnd"/>
            <w:r>
              <w:t xml:space="preserve"> imaju dom zdravlja na Vrbiku, stanovnici </w:t>
            </w:r>
            <w:proofErr w:type="spellStart"/>
            <w:r>
              <w:t>Miramarea</w:t>
            </w:r>
            <w:proofErr w:type="spellEnd"/>
            <w:r>
              <w:t xml:space="preserve"> imaju dva dječja vrtića na prostoru Vrbika i Cvjetnice, stanovnici Cvjetnice i Vrbika idu u osnovnu školu koja je na području </w:t>
            </w:r>
            <w:proofErr w:type="spellStart"/>
            <w:r>
              <w:t>Miramarea</w:t>
            </w:r>
            <w:proofErr w:type="spellEnd"/>
            <w:r>
              <w:t xml:space="preserve">, župna crkva pokriva zajednički prostor </w:t>
            </w:r>
            <w:proofErr w:type="spellStart"/>
            <w:r>
              <w:t>Miramarea</w:t>
            </w:r>
            <w:proofErr w:type="spellEnd"/>
            <w:r>
              <w:t xml:space="preserve">, Vrbika i Cvjetnice, a na koncu konca prostori mjesnih odbora Cvjetnice i </w:t>
            </w:r>
            <w:proofErr w:type="spellStart"/>
            <w:r>
              <w:t>Miramarea</w:t>
            </w:r>
            <w:proofErr w:type="spellEnd"/>
            <w:r>
              <w:t xml:space="preserve"> nalaze se na Vrbiku.</w:t>
            </w:r>
          </w:p>
          <w:p w14:paraId="59849260" w14:textId="77777777" w:rsidR="00B60659" w:rsidRDefault="00B60659" w:rsidP="00B60659">
            <w:r>
              <w:t xml:space="preserve">Unutar naselja ne postoji nikakva prirodna prepreka koja bi prostorno razdvajala </w:t>
            </w:r>
            <w:proofErr w:type="spellStart"/>
            <w:r>
              <w:t>Miramare</w:t>
            </w:r>
            <w:proofErr w:type="spellEnd"/>
            <w:r>
              <w:t xml:space="preserve"> od ostatka (Vrbik i Cvjetnica), odnosno jedino </w:t>
            </w:r>
            <w:proofErr w:type="spellStart"/>
            <w:r>
              <w:t>Lučićeva</w:t>
            </w:r>
            <w:proofErr w:type="spellEnd"/>
            <w:r>
              <w:t xml:space="preserve"> koja je zamišljena kao proboj na Slavonsku je jača avenija no prometno manje zagušena i frekventna od primjerice Miramarske koja ide po sredini VMO </w:t>
            </w:r>
            <w:proofErr w:type="spellStart"/>
            <w:r>
              <w:t>Miramare</w:t>
            </w:r>
            <w:proofErr w:type="spellEnd"/>
            <w:r>
              <w:t>.</w:t>
            </w:r>
          </w:p>
          <w:p w14:paraId="4DF04CA2" w14:textId="77777777" w:rsidR="00B60659" w:rsidRDefault="00B60659" w:rsidP="00B60659">
            <w:r>
              <w:t xml:space="preserve">Kroz navedeno spajanje, mjesni odbori će moći kao jedan lakše definirati sve što imaju </w:t>
            </w:r>
            <w:r>
              <w:lastRenderedPageBreak/>
              <w:t>unutar ingerencija vezanih za život stanovnika, od prometne politike, politike vezane uz potencijalne zelene otoke/</w:t>
            </w:r>
            <w:proofErr w:type="spellStart"/>
            <w:r>
              <w:t>polupodzemne</w:t>
            </w:r>
            <w:proofErr w:type="spellEnd"/>
            <w:r>
              <w:t xml:space="preserve"> spremnike, </w:t>
            </w:r>
            <w:proofErr w:type="spellStart"/>
            <w:r>
              <w:t>parkinu</w:t>
            </w:r>
            <w:proofErr w:type="spellEnd"/>
            <w:r>
              <w:t xml:space="preserve"> politiku, </w:t>
            </w:r>
            <w:proofErr w:type="spellStart"/>
            <w:r>
              <w:t>asfalterski</w:t>
            </w:r>
            <w:proofErr w:type="spellEnd"/>
            <w:r>
              <w:t xml:space="preserve"> program, plan potreba zajednice, kvalitetnije korištenje prostora mjesnog odbora te sve ostale bitne i sadržajne stvari kojima se bave jer prostor koji čini između Slavonske, HBZ-a, Vukovarske i Savske se definira kao cjelina te efikasnija administracija i učinkovitiji mjesni odbor time stvaraju bolje uvjete funkcioniranja mjesne samouprave te time i Grada u cjelini. </w:t>
            </w:r>
          </w:p>
          <w:p w14:paraId="16B8C1F0" w14:textId="77777777" w:rsidR="00B60659" w:rsidRDefault="00B60659" w:rsidP="00B60659">
            <w:r>
              <w:t xml:space="preserve">Prijedlog spajanja Vrbika, </w:t>
            </w:r>
            <w:proofErr w:type="spellStart"/>
            <w:r>
              <w:t>Miramarea</w:t>
            </w:r>
            <w:proofErr w:type="spellEnd"/>
            <w:r>
              <w:t xml:space="preserve"> i Cvjetnice u novi VMO Vrbik podržali su kroz zaključke na sjednicama:</w:t>
            </w:r>
            <w:r>
              <w:br/>
              <w:t>VMO Cvjetnica, VMO Vrbik i Vijeće gradske četvrti Trnje.</w:t>
            </w:r>
          </w:p>
          <w:p w14:paraId="0DF46779" w14:textId="77777777" w:rsidR="003F4B2F" w:rsidRDefault="003F4B2F">
            <w:pPr>
              <w:pStyle w:val="ListParagraph"/>
              <w:widowControl w:val="0"/>
              <w:ind w:left="0"/>
              <w:jc w:val="both"/>
              <w:rPr>
                <w:rFonts w:ascii="Times New Roman" w:eastAsia="Times New Roman" w:hAnsi="Times New Roman"/>
                <w:lang w:eastAsia="hr-HR"/>
              </w:rPr>
            </w:pPr>
          </w:p>
        </w:tc>
        <w:tc>
          <w:tcPr>
            <w:tcW w:w="2552" w:type="dxa"/>
            <w:tcBorders>
              <w:top w:val="single" w:sz="4" w:space="0" w:color="000000"/>
              <w:left w:val="single" w:sz="4" w:space="0" w:color="000000"/>
              <w:bottom w:val="single" w:sz="4" w:space="0" w:color="000000"/>
              <w:right w:val="thinThickSmallGap" w:sz="24" w:space="0" w:color="000000"/>
            </w:tcBorders>
            <w:shd w:val="clear" w:color="auto" w:fill="auto"/>
          </w:tcPr>
          <w:p w14:paraId="0765E890" w14:textId="77777777" w:rsidR="00B60659" w:rsidRDefault="00B60659" w:rsidP="00B60659">
            <w:pPr>
              <w:widowControl w:val="0"/>
              <w:shd w:val="clear" w:color="auto" w:fill="FFFFFF"/>
              <w:jc w:val="both"/>
              <w:rPr>
                <w:bCs/>
                <w:sz w:val="22"/>
                <w:szCs w:val="22"/>
              </w:rPr>
            </w:pPr>
            <w:r>
              <w:rPr>
                <w:b/>
                <w:bCs/>
                <w:sz w:val="22"/>
                <w:szCs w:val="22"/>
              </w:rPr>
              <w:lastRenderedPageBreak/>
              <w:t>Ne prihvaća se.</w:t>
            </w:r>
            <w:r>
              <w:rPr>
                <w:bCs/>
                <w:sz w:val="22"/>
                <w:szCs w:val="22"/>
              </w:rPr>
              <w:t xml:space="preserve"> </w:t>
            </w:r>
          </w:p>
          <w:p w14:paraId="075446E0" w14:textId="77777777" w:rsidR="00C37DD4" w:rsidRDefault="00C37DD4">
            <w:pPr>
              <w:widowControl w:val="0"/>
              <w:shd w:val="clear" w:color="auto" w:fill="FFFFFF"/>
              <w:jc w:val="both"/>
              <w:rPr>
                <w:bCs/>
                <w:sz w:val="22"/>
                <w:szCs w:val="22"/>
              </w:rPr>
            </w:pPr>
          </w:p>
          <w:p w14:paraId="157E7A63" w14:textId="5C3A3D1F" w:rsidR="00B60659" w:rsidRDefault="00B60659" w:rsidP="00C627DF">
            <w:pPr>
              <w:widowControl w:val="0"/>
              <w:shd w:val="clear" w:color="auto" w:fill="FFFFFF"/>
              <w:rPr>
                <w:bCs/>
                <w:sz w:val="22"/>
                <w:szCs w:val="22"/>
              </w:rPr>
            </w:pPr>
            <w:r>
              <w:rPr>
                <w:bCs/>
                <w:sz w:val="22"/>
                <w:szCs w:val="22"/>
              </w:rPr>
              <w:t xml:space="preserve">Sukladno članku 4. Odluke o osnivanju mjesnih odbora (7/09, 12/10, 4/13, 5/17, 28/20, 4/21, 5/21 – </w:t>
            </w:r>
            <w:proofErr w:type="spellStart"/>
            <w:r>
              <w:rPr>
                <w:bCs/>
                <w:sz w:val="22"/>
                <w:szCs w:val="22"/>
              </w:rPr>
              <w:t>ispr</w:t>
            </w:r>
            <w:proofErr w:type="spellEnd"/>
            <w:r>
              <w:rPr>
                <w:bCs/>
                <w:sz w:val="22"/>
                <w:szCs w:val="22"/>
              </w:rPr>
              <w:t>.) promjene područja mjesnih odbor može inicirati vijeće mjesnog odbora, a vijeće gradske četvrti će istu razmotriti nakon pribavljenog mišljenja vijeća onih mjesnih odbora za koje se predlaže promjena područja. S obzirom</w:t>
            </w:r>
            <w:r w:rsidR="00F818C0">
              <w:rPr>
                <w:bCs/>
                <w:sz w:val="22"/>
                <w:szCs w:val="22"/>
              </w:rPr>
              <w:t xml:space="preserve"> na to</w:t>
            </w:r>
            <w:r>
              <w:rPr>
                <w:bCs/>
                <w:sz w:val="22"/>
                <w:szCs w:val="22"/>
              </w:rPr>
              <w:t xml:space="preserve"> da</w:t>
            </w:r>
            <w:r w:rsidR="00F818C0">
              <w:rPr>
                <w:bCs/>
                <w:sz w:val="22"/>
                <w:szCs w:val="22"/>
              </w:rPr>
              <w:t xml:space="preserve"> u ovom slučaju</w:t>
            </w:r>
            <w:r>
              <w:rPr>
                <w:bCs/>
                <w:sz w:val="22"/>
                <w:szCs w:val="22"/>
              </w:rPr>
              <w:t xml:space="preserve"> VMO </w:t>
            </w:r>
            <w:proofErr w:type="spellStart"/>
            <w:r>
              <w:rPr>
                <w:bCs/>
                <w:sz w:val="22"/>
                <w:szCs w:val="22"/>
              </w:rPr>
              <w:t>Miramare</w:t>
            </w:r>
            <w:proofErr w:type="spellEnd"/>
            <w:r>
              <w:rPr>
                <w:bCs/>
                <w:sz w:val="22"/>
                <w:szCs w:val="22"/>
              </w:rPr>
              <w:t xml:space="preserve"> nije iniciralo</w:t>
            </w:r>
            <w:r w:rsidR="00BA65BF">
              <w:rPr>
                <w:bCs/>
                <w:sz w:val="22"/>
                <w:szCs w:val="22"/>
              </w:rPr>
              <w:t xml:space="preserve"> niti prihvatilo</w:t>
            </w:r>
            <w:r>
              <w:rPr>
                <w:bCs/>
                <w:sz w:val="22"/>
                <w:szCs w:val="22"/>
              </w:rPr>
              <w:t xml:space="preserve"> predmetnu promjenu prijedlog se ne može prihvatiti.</w:t>
            </w:r>
          </w:p>
        </w:tc>
      </w:tr>
      <w:tr w:rsidR="00275D9F" w14:paraId="7F127426" w14:textId="77777777" w:rsidTr="00275D9F">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515B69A5" w14:textId="18459278" w:rsidR="00275D9F" w:rsidRDefault="00275D9F" w:rsidP="00275D9F">
            <w:pPr>
              <w:widowControl w:val="0"/>
              <w:jc w:val="right"/>
              <w:rPr>
                <w:sz w:val="22"/>
                <w:szCs w:val="22"/>
              </w:rPr>
            </w:pPr>
            <w:r>
              <w:rPr>
                <w:sz w:val="22"/>
                <w:szCs w:val="22"/>
              </w:rPr>
              <w:t>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3AF0B675" w14:textId="51D4B740" w:rsidR="00275D9F" w:rsidRDefault="00275D9F" w:rsidP="00275D9F">
            <w:pPr>
              <w:widowControl w:val="0"/>
            </w:pPr>
            <w:r>
              <w:t>Građanin J.K.</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3FF2774B" w14:textId="227FFA79" w:rsidR="00275D9F" w:rsidRDefault="00275D9F" w:rsidP="00275D9F">
            <w:pPr>
              <w:widowControl w:val="0"/>
              <w:rPr>
                <w:sz w:val="22"/>
                <w:szCs w:val="22"/>
              </w:rPr>
            </w:pPr>
            <w:r>
              <w:rPr>
                <w:sz w:val="22"/>
                <w:szCs w:val="22"/>
              </w:rPr>
              <w:t>Članak 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32EB0B1" w14:textId="05B61228" w:rsidR="00275D9F" w:rsidRPr="00275D9F" w:rsidRDefault="00275D9F" w:rsidP="00275D9F">
            <w:pPr>
              <w:widowControl w:val="0"/>
            </w:pPr>
            <w:r w:rsidRPr="00275D9F">
              <w:t>S obzirom da se mjesni odbor osniva za određeno područje koje dijeli</w:t>
            </w:r>
            <w:r>
              <w:t xml:space="preserve"> </w:t>
            </w:r>
            <w:r w:rsidRPr="00275D9F">
              <w:t>slične komunalne i infrastrukturne probleme (opskrba vodom,</w:t>
            </w:r>
            <w:r>
              <w:t xml:space="preserve"> </w:t>
            </w:r>
            <w:r w:rsidRPr="00275D9F">
              <w:t xml:space="preserve">odvodnja otpadnih voda, javni prijevoz, korištenje javne </w:t>
            </w:r>
            <w:proofErr w:type="spellStart"/>
            <w:r w:rsidRPr="00275D9F">
              <w:t>nfrastrukture</w:t>
            </w:r>
            <w:proofErr w:type="spellEnd"/>
          </w:p>
          <w:p w14:paraId="1B1B438D" w14:textId="06C77E73" w:rsidR="00275D9F" w:rsidRDefault="00275D9F" w:rsidP="00275D9F">
            <w:pPr>
              <w:widowControl w:val="0"/>
            </w:pPr>
            <w:r w:rsidRPr="00275D9F">
              <w:t>i objekata – igrališta, društvenih domova sl.) molim da se razmotri</w:t>
            </w:r>
            <w:r>
              <w:t xml:space="preserve"> </w:t>
            </w:r>
            <w:r w:rsidRPr="00275D9F">
              <w:t xml:space="preserve">razdvajanje mjesnog odbora </w:t>
            </w:r>
            <w:proofErr w:type="spellStart"/>
            <w:r w:rsidRPr="00275D9F">
              <w:t>Dumovec</w:t>
            </w:r>
            <w:proofErr w:type="spellEnd"/>
            <w:r w:rsidRPr="00275D9F">
              <w:t xml:space="preserve"> unutar postojećih već</w:t>
            </w:r>
            <w:r>
              <w:t xml:space="preserve"> </w:t>
            </w:r>
            <w:r w:rsidRPr="00275D9F">
              <w:t xml:space="preserve">utvrđenih granica a sukladno prirodnoj granici (kanal </w:t>
            </w:r>
            <w:proofErr w:type="spellStart"/>
            <w:r w:rsidRPr="00275D9F">
              <w:t>Črnec</w:t>
            </w:r>
            <w:proofErr w:type="spellEnd"/>
            <w:r w:rsidRPr="00275D9F">
              <w:t>) jer je</w:t>
            </w:r>
            <w:r>
              <w:t xml:space="preserve"> </w:t>
            </w:r>
            <w:r w:rsidRPr="00275D9F">
              <w:t>udaljenost između dvije veće skupine stambenih objekata oko</w:t>
            </w:r>
            <w:r>
              <w:t xml:space="preserve"> </w:t>
            </w:r>
            <w:r w:rsidRPr="00275D9F">
              <w:t>1.500 metara (oko 4 do 5 tramvajskih stajališta – otprilike</w:t>
            </w:r>
            <w:r>
              <w:t xml:space="preserve"> </w:t>
            </w:r>
            <w:r w:rsidRPr="00275D9F">
              <w:t xml:space="preserve">udaljenost od okretišta Borongaj do </w:t>
            </w:r>
            <w:proofErr w:type="spellStart"/>
            <w:r w:rsidRPr="00275D9F">
              <w:t>Heinzelove</w:t>
            </w:r>
            <w:proofErr w:type="spellEnd"/>
            <w:r w:rsidRPr="00275D9F">
              <w:t>).</w:t>
            </w:r>
          </w:p>
        </w:tc>
        <w:tc>
          <w:tcPr>
            <w:tcW w:w="2552" w:type="dxa"/>
            <w:tcBorders>
              <w:top w:val="single" w:sz="4" w:space="0" w:color="000000"/>
              <w:left w:val="single" w:sz="4" w:space="0" w:color="000000"/>
              <w:bottom w:val="single" w:sz="4" w:space="0" w:color="000000"/>
              <w:right w:val="thinThickSmallGap" w:sz="24" w:space="0" w:color="000000"/>
            </w:tcBorders>
            <w:shd w:val="clear" w:color="auto" w:fill="auto"/>
          </w:tcPr>
          <w:p w14:paraId="11CA6DC4" w14:textId="77777777" w:rsidR="00CE06A8" w:rsidRDefault="00CE06A8" w:rsidP="00CE06A8">
            <w:pPr>
              <w:widowControl w:val="0"/>
              <w:shd w:val="clear" w:color="auto" w:fill="FFFFFF"/>
              <w:jc w:val="both"/>
              <w:rPr>
                <w:bCs/>
                <w:sz w:val="22"/>
                <w:szCs w:val="22"/>
              </w:rPr>
            </w:pPr>
            <w:r>
              <w:rPr>
                <w:b/>
                <w:bCs/>
                <w:sz w:val="22"/>
                <w:szCs w:val="22"/>
              </w:rPr>
              <w:t>Ne prihvaća se.</w:t>
            </w:r>
            <w:r>
              <w:rPr>
                <w:bCs/>
                <w:sz w:val="22"/>
                <w:szCs w:val="22"/>
              </w:rPr>
              <w:t xml:space="preserve"> </w:t>
            </w:r>
          </w:p>
          <w:p w14:paraId="73AF83BE" w14:textId="77777777" w:rsidR="00275D9F" w:rsidRDefault="00275D9F" w:rsidP="00275D9F">
            <w:pPr>
              <w:widowControl w:val="0"/>
              <w:shd w:val="clear" w:color="auto" w:fill="FFFFFF"/>
              <w:jc w:val="both"/>
              <w:rPr>
                <w:bCs/>
                <w:sz w:val="22"/>
                <w:szCs w:val="22"/>
              </w:rPr>
            </w:pPr>
          </w:p>
          <w:p w14:paraId="7DE61722" w14:textId="76FA08BE" w:rsidR="00CE06A8" w:rsidRPr="007054C2" w:rsidRDefault="00CE06A8" w:rsidP="00C627DF">
            <w:pPr>
              <w:widowControl w:val="0"/>
              <w:shd w:val="clear" w:color="auto" w:fill="FFFFFF"/>
              <w:rPr>
                <w:bCs/>
                <w:sz w:val="22"/>
                <w:szCs w:val="22"/>
              </w:rPr>
            </w:pPr>
            <w:r>
              <w:rPr>
                <w:bCs/>
                <w:sz w:val="22"/>
                <w:szCs w:val="22"/>
              </w:rPr>
              <w:t xml:space="preserve">Sukladno članku 4. Odluke o osnivanju mjesnih odbora (7/09, 12/10, 4/13, 5/17, 28/20, 4/21, 5/21 – </w:t>
            </w:r>
            <w:proofErr w:type="spellStart"/>
            <w:r>
              <w:rPr>
                <w:bCs/>
                <w:sz w:val="22"/>
                <w:szCs w:val="22"/>
              </w:rPr>
              <w:t>ispr</w:t>
            </w:r>
            <w:proofErr w:type="spellEnd"/>
            <w:r>
              <w:rPr>
                <w:bCs/>
                <w:sz w:val="22"/>
                <w:szCs w:val="22"/>
              </w:rPr>
              <w:t xml:space="preserve">.) promjene područja mjesnih odbor može inicirati vijeće mjesnog odbora, a vijeće gradske četvrti će istu razmotriti nakon pribavljenog mišljenja vijeća onih mjesnih odbora za koje se predlaže promjena područja. VMO </w:t>
            </w:r>
            <w:proofErr w:type="spellStart"/>
            <w:r>
              <w:rPr>
                <w:bCs/>
                <w:sz w:val="22"/>
                <w:szCs w:val="22"/>
              </w:rPr>
              <w:t>Dumovec</w:t>
            </w:r>
            <w:proofErr w:type="spellEnd"/>
            <w:r>
              <w:rPr>
                <w:bCs/>
                <w:sz w:val="22"/>
                <w:szCs w:val="22"/>
              </w:rPr>
              <w:t xml:space="preserve"> je na 41. sjednici </w:t>
            </w:r>
            <w:r w:rsidR="00FA40BC">
              <w:rPr>
                <w:bCs/>
                <w:sz w:val="22"/>
                <w:szCs w:val="22"/>
              </w:rPr>
              <w:t>23.10.2024. donijelo Zaključak kojim ne prihvaća prijedlog.</w:t>
            </w:r>
          </w:p>
        </w:tc>
      </w:tr>
      <w:tr w:rsidR="00BB1029" w14:paraId="58B321B0" w14:textId="77777777" w:rsidTr="008223F7">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01FEDF4D" w14:textId="1E762E37" w:rsidR="00BB1029" w:rsidRDefault="00BB1029" w:rsidP="00BB1029">
            <w:pPr>
              <w:widowControl w:val="0"/>
              <w:jc w:val="right"/>
              <w:rPr>
                <w:sz w:val="22"/>
                <w:szCs w:val="22"/>
              </w:rPr>
            </w:pPr>
            <w:r>
              <w:rPr>
                <w:sz w:val="22"/>
                <w:szCs w:val="22"/>
              </w:rPr>
              <w:t>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29C94C70" w14:textId="0DE95161" w:rsidR="00BB1029" w:rsidRDefault="00BB1029" w:rsidP="00BB1029">
            <w:pPr>
              <w:widowControl w:val="0"/>
              <w:rPr>
                <w:sz w:val="22"/>
                <w:szCs w:val="22"/>
              </w:rPr>
            </w:pPr>
            <w:r>
              <w:rPr>
                <w:sz w:val="22"/>
                <w:szCs w:val="22"/>
              </w:rPr>
              <w:t>Građanin V.B.</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2967C922" w14:textId="6318DBC1" w:rsidR="00BB1029" w:rsidRDefault="00BB1029" w:rsidP="00BB1029">
            <w:pPr>
              <w:widowControl w:val="0"/>
              <w:rPr>
                <w:color w:val="000000" w:themeColor="text1"/>
              </w:rPr>
            </w:pPr>
            <w:r>
              <w:rPr>
                <w:sz w:val="22"/>
                <w:szCs w:val="22"/>
              </w:rPr>
              <w:t>Članak 2.</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B5410" w14:textId="77777777" w:rsidR="00BB1029" w:rsidRPr="00454DB9" w:rsidRDefault="00BB1029" w:rsidP="00BB1029">
            <w:pPr>
              <w:rPr>
                <w:b/>
                <w:bCs/>
              </w:rPr>
            </w:pPr>
            <w:r>
              <w:t>1</w:t>
            </w:r>
            <w:r w:rsidRPr="00454DB9">
              <w:rPr>
                <w:b/>
                <w:bCs/>
              </w:rPr>
              <w:t>. Demografska analiza i javni interes:</w:t>
            </w:r>
          </w:p>
          <w:p w14:paraId="4A44D9C1" w14:textId="77777777" w:rsidR="00BB1029" w:rsidRDefault="00BB1029" w:rsidP="00BB1029">
            <w:r>
              <w:t xml:space="preserve">   - Prije donošenja odluke o spajanju mjesnih odbora, potrebno je provesti temeljitu demografsku analizu kako bi se procijenilo jesu li predložene izmjene u skladu s interesima stanovnika. Važno je uzeti u obzir da svaki mjesni odbor ima svoje specifične potrebe, pa bi spajanje moglo dovesti do zanemarivanja interesa manjih zajednica u korist većih.</w:t>
            </w:r>
          </w:p>
          <w:p w14:paraId="4E62A930" w14:textId="77777777" w:rsidR="00BB1029" w:rsidRDefault="00BB1029" w:rsidP="00BB1029">
            <w:r>
              <w:t xml:space="preserve">   - Javne konzultacije sa stanovnicima prije donošenja ovakve odluke ključne su kako bi </w:t>
            </w:r>
            <w:r>
              <w:lastRenderedPageBreak/>
              <w:t>se osiguralo da ona odgovara stvarnim potrebama i željama građana.</w:t>
            </w:r>
          </w:p>
          <w:p w14:paraId="3A017BBE" w14:textId="77777777" w:rsidR="00BB1029" w:rsidRDefault="00BB1029" w:rsidP="00BB1029"/>
          <w:p w14:paraId="65F4F1AD" w14:textId="77777777" w:rsidR="00BB1029" w:rsidRPr="00454DB9" w:rsidRDefault="00BB1029" w:rsidP="00BB1029">
            <w:pPr>
              <w:rPr>
                <w:b/>
                <w:bCs/>
              </w:rPr>
            </w:pPr>
            <w:r>
              <w:t>2</w:t>
            </w:r>
            <w:r w:rsidRPr="00454DB9">
              <w:rPr>
                <w:b/>
                <w:bCs/>
              </w:rPr>
              <w:t>. Očuvanje lokalne samouprave:</w:t>
            </w:r>
          </w:p>
          <w:p w14:paraId="00E868E5" w14:textId="77777777" w:rsidR="00BB1029" w:rsidRDefault="00BB1029" w:rsidP="00BB1029">
            <w:r>
              <w:t xml:space="preserve">   - Spajanje mjesnih odbora može smanjiti osjećaj lokalne samouprave među stanovnicima, jer bi veći mjesni odbori mogli biti manje prilagođeni rješavanju specifičnih problema pojedinih dijelova gradske četvrti. Zbog toga postoji rizik da stanovnici izgube neposredan kanal za komunikaciju s lokalnom vlasti.</w:t>
            </w:r>
          </w:p>
          <w:p w14:paraId="6F0CD402" w14:textId="77777777" w:rsidR="00BB1029" w:rsidRDefault="00BB1029" w:rsidP="00BB1029"/>
          <w:p w14:paraId="5A2E411E" w14:textId="77777777" w:rsidR="00BB1029" w:rsidRPr="00454DB9" w:rsidRDefault="00BB1029" w:rsidP="00BB1029">
            <w:pPr>
              <w:rPr>
                <w:b/>
                <w:bCs/>
              </w:rPr>
            </w:pPr>
            <w:r>
              <w:t xml:space="preserve">3. </w:t>
            </w:r>
            <w:r w:rsidRPr="00454DB9">
              <w:rPr>
                <w:b/>
                <w:bCs/>
              </w:rPr>
              <w:t>Administrativno opterećenje:</w:t>
            </w:r>
          </w:p>
          <w:p w14:paraId="42EE58A1" w14:textId="2F800B06" w:rsidR="00BB1029" w:rsidRDefault="00BB1029" w:rsidP="00BB1029">
            <w:r>
              <w:t xml:space="preserve">   - Iako se može činiti da bi spajanje mjesnih odbora smanjilo administrativne troškove, povećana veličina spojenih odbora mogla bi dovesti do dodatnih izazova u organizaciji, koordinaciji i rješavanju lokalnih pitanja. Veći odbori mogu postati manje učinkoviti u donošenju odluka i odgovaranju na potrebe stanovnika.</w:t>
            </w:r>
          </w:p>
          <w:p w14:paraId="0EE23D2E" w14:textId="77777777" w:rsidR="00C627DF" w:rsidRDefault="00C627DF" w:rsidP="00BB1029"/>
          <w:p w14:paraId="4CCADF72" w14:textId="77777777" w:rsidR="00BB1029" w:rsidRPr="00454DB9" w:rsidRDefault="00BB1029" w:rsidP="00BB1029">
            <w:pPr>
              <w:rPr>
                <w:b/>
                <w:bCs/>
              </w:rPr>
            </w:pPr>
            <w:r>
              <w:t xml:space="preserve">4. </w:t>
            </w:r>
            <w:r w:rsidRPr="00454DB9">
              <w:rPr>
                <w:b/>
                <w:bCs/>
              </w:rPr>
              <w:t>Raspodjela proračunskih sredstava:</w:t>
            </w:r>
          </w:p>
          <w:p w14:paraId="1DEAF2C8" w14:textId="77777777" w:rsidR="00BB1029" w:rsidRDefault="00BB1029" w:rsidP="00BB1029">
            <w:r>
              <w:t xml:space="preserve">   - Spajanje mjesnih odbora moglo bi utjecati na raspodjelu proračunskih sredstava među različitim dijelovima gradske četvrti. Važno je osigurati da sredstva budu pravedno raspoređena te da ne dođe do favoriziranja jednog dijela u odnosu na drugi.</w:t>
            </w:r>
          </w:p>
          <w:p w14:paraId="59709861" w14:textId="77777777" w:rsidR="00BB1029" w:rsidRDefault="00BB1029" w:rsidP="00BB1029"/>
          <w:p w14:paraId="4F92A425" w14:textId="77777777" w:rsidR="00BB1029" w:rsidRPr="00454DB9" w:rsidRDefault="00BB1029" w:rsidP="00BB1029">
            <w:pPr>
              <w:rPr>
                <w:b/>
                <w:bCs/>
              </w:rPr>
            </w:pPr>
            <w:r>
              <w:t xml:space="preserve">5. </w:t>
            </w:r>
            <w:r w:rsidRPr="00454DB9">
              <w:rPr>
                <w:b/>
                <w:bCs/>
              </w:rPr>
              <w:t>Očuvanje identiteta zajednica:</w:t>
            </w:r>
          </w:p>
          <w:p w14:paraId="47AFF04A" w14:textId="77777777" w:rsidR="00BB1029" w:rsidRDefault="00BB1029" w:rsidP="00BB1029">
            <w:r>
              <w:t xml:space="preserve">   - Svaki mjesni odbor često ima svoj vlastiti identitet i povijesnu važnost za stanovnike. Spajanje bi moglo narušiti osjećaj pripadnosti zajednici, što bi moglo izazvati otpor među stanovnicima koji su privrženi svojoj mjesnoj organizaciji.</w:t>
            </w:r>
          </w:p>
          <w:p w14:paraId="43A22059" w14:textId="77777777" w:rsidR="00BB1029" w:rsidRDefault="00BB1029" w:rsidP="00BB1029"/>
          <w:p w14:paraId="3DBFCB87" w14:textId="77777777" w:rsidR="00BB1029" w:rsidRPr="00454DB9" w:rsidRDefault="00BB1029" w:rsidP="00BB1029">
            <w:pPr>
              <w:rPr>
                <w:b/>
                <w:bCs/>
              </w:rPr>
            </w:pPr>
            <w:r>
              <w:t xml:space="preserve">6. </w:t>
            </w:r>
            <w:r w:rsidRPr="00454DB9">
              <w:rPr>
                <w:b/>
                <w:bCs/>
              </w:rPr>
              <w:t>Učinkovitost rješavanja problema:</w:t>
            </w:r>
          </w:p>
          <w:p w14:paraId="01EFC1AE" w14:textId="3AABD0F6" w:rsidR="00BB1029" w:rsidRDefault="00BB1029" w:rsidP="00BB1029">
            <w:r>
              <w:t xml:space="preserve">   - Veći mjesni </w:t>
            </w:r>
            <w:proofErr w:type="spellStart"/>
            <w:r>
              <w:t>odboGrađari</w:t>
            </w:r>
            <w:proofErr w:type="spellEnd"/>
            <w:r>
              <w:t xml:space="preserve"> mogli bi imati poteškoća u prepoznavanju i rješavanju problema na mikro-razini, koji su često specifični za pojedine ulice ili kvartove. To bi moglo dovesti do osjećaja nezadovoljstva među stanovnicima, pogotovo ako se manji problemi ne rješavaju dovoljno brzo.</w:t>
            </w:r>
          </w:p>
          <w:p w14:paraId="65E5D633" w14:textId="77777777" w:rsidR="00BB1029" w:rsidRDefault="00BB1029" w:rsidP="00BB1029"/>
          <w:p w14:paraId="3D573FE4" w14:textId="77777777" w:rsidR="00BB1029" w:rsidRDefault="00BB1029" w:rsidP="00BB1029">
            <w:r w:rsidRPr="00BB1029">
              <w:t>Zaključak:</w:t>
            </w:r>
          </w:p>
          <w:p w14:paraId="3EF8963E" w14:textId="573AE4BE" w:rsidR="00BB1029" w:rsidRDefault="00BB1029" w:rsidP="00BB1029">
            <w:pPr>
              <w:widowControl w:val="0"/>
              <w:jc w:val="both"/>
              <w:rPr>
                <w:color w:val="000000" w:themeColor="text1"/>
              </w:rPr>
            </w:pPr>
            <w:r w:rsidRPr="004A15EF">
              <w:rPr>
                <w:b/>
                <w:bCs/>
              </w:rPr>
              <w:t xml:space="preserve">Prije donošenja konačne odluke o </w:t>
            </w:r>
            <w:r w:rsidRPr="004A15EF">
              <w:rPr>
                <w:b/>
                <w:bCs/>
              </w:rPr>
              <w:lastRenderedPageBreak/>
              <w:t>spajanju mjesnih odbora, preporučljivo je provesti dodatne konzultacije sa stanovnicima i stručnjacima, te temeljitu analizu svih potencijalnih učinaka kako bi se osiguralo da spajanje zaista doprinosi boljem funkcioniranju lokalne samouprave i poboljšanju kvalitete života u gradskoj četvrti Trnje.</w:t>
            </w:r>
          </w:p>
        </w:tc>
        <w:tc>
          <w:tcPr>
            <w:tcW w:w="2552" w:type="dxa"/>
            <w:tcBorders>
              <w:top w:val="single" w:sz="4" w:space="0" w:color="000000"/>
              <w:left w:val="single" w:sz="4" w:space="0" w:color="000000"/>
              <w:bottom w:val="single" w:sz="4" w:space="0" w:color="000000"/>
              <w:right w:val="thinThickSmallGap" w:sz="24" w:space="0" w:color="000000"/>
            </w:tcBorders>
            <w:shd w:val="clear" w:color="auto" w:fill="auto"/>
          </w:tcPr>
          <w:p w14:paraId="55611346" w14:textId="77777777" w:rsidR="00BB1029" w:rsidRDefault="00BB1029" w:rsidP="00BB1029">
            <w:pPr>
              <w:widowControl w:val="0"/>
              <w:shd w:val="clear" w:color="auto" w:fill="FFFFFF"/>
              <w:jc w:val="both"/>
              <w:rPr>
                <w:bCs/>
                <w:sz w:val="22"/>
                <w:szCs w:val="22"/>
              </w:rPr>
            </w:pPr>
            <w:r>
              <w:rPr>
                <w:b/>
                <w:bCs/>
                <w:sz w:val="22"/>
                <w:szCs w:val="22"/>
              </w:rPr>
              <w:lastRenderedPageBreak/>
              <w:t>Ne prihvaća se.</w:t>
            </w:r>
            <w:r>
              <w:rPr>
                <w:bCs/>
                <w:sz w:val="22"/>
                <w:szCs w:val="22"/>
              </w:rPr>
              <w:t xml:space="preserve"> </w:t>
            </w:r>
          </w:p>
          <w:p w14:paraId="082D532D" w14:textId="77777777" w:rsidR="00BB1029" w:rsidRDefault="00BB1029" w:rsidP="00BB1029">
            <w:pPr>
              <w:widowControl w:val="0"/>
              <w:shd w:val="clear" w:color="auto" w:fill="FFFFFF"/>
              <w:jc w:val="both"/>
              <w:rPr>
                <w:bCs/>
                <w:sz w:val="22"/>
                <w:szCs w:val="22"/>
              </w:rPr>
            </w:pPr>
          </w:p>
          <w:p w14:paraId="116D7722" w14:textId="77777777" w:rsidR="00C627DF" w:rsidRDefault="00BB1029" w:rsidP="00C627DF">
            <w:pPr>
              <w:widowControl w:val="0"/>
              <w:rPr>
                <w:bCs/>
                <w:sz w:val="22"/>
                <w:szCs w:val="22"/>
              </w:rPr>
            </w:pPr>
            <w:r>
              <w:rPr>
                <w:bCs/>
                <w:sz w:val="22"/>
                <w:szCs w:val="22"/>
              </w:rPr>
              <w:t xml:space="preserve">Sukladno članku 4. Odluke o osnivanju mjesnih odbora (7/09, 12/10, 4/13, 5/17, 28/20, 4/21, 5/21 – </w:t>
            </w:r>
            <w:proofErr w:type="spellStart"/>
            <w:r>
              <w:rPr>
                <w:bCs/>
                <w:sz w:val="22"/>
                <w:szCs w:val="22"/>
              </w:rPr>
              <w:t>ispr</w:t>
            </w:r>
            <w:proofErr w:type="spellEnd"/>
            <w:r>
              <w:rPr>
                <w:bCs/>
                <w:sz w:val="22"/>
                <w:szCs w:val="22"/>
              </w:rPr>
              <w:t xml:space="preserve">.) promjene područja mjesnih odbor može inicirati vijeće mjesnog odbora, a vijeće gradske četvrti će istu razmotriti nakon pribavljenog </w:t>
            </w:r>
            <w:r>
              <w:rPr>
                <w:bCs/>
                <w:sz w:val="22"/>
                <w:szCs w:val="22"/>
              </w:rPr>
              <w:lastRenderedPageBreak/>
              <w:t xml:space="preserve">mišljenja vijeća onih mjesnih odbora za koje se predlaže promjena područja. </w:t>
            </w:r>
          </w:p>
          <w:p w14:paraId="5CCA51DB" w14:textId="487C7DBE" w:rsidR="00BB1029" w:rsidRDefault="0024574D" w:rsidP="00C627DF">
            <w:pPr>
              <w:widowControl w:val="0"/>
              <w:rPr>
                <w:sz w:val="22"/>
                <w:szCs w:val="22"/>
              </w:rPr>
            </w:pPr>
            <w:r>
              <w:rPr>
                <w:bCs/>
                <w:sz w:val="22"/>
                <w:szCs w:val="22"/>
              </w:rPr>
              <w:t xml:space="preserve">VMO Veslačko naselje, </w:t>
            </w:r>
            <w:r w:rsidR="00F818C0">
              <w:rPr>
                <w:bCs/>
                <w:sz w:val="22"/>
                <w:szCs w:val="22"/>
              </w:rPr>
              <w:t>VMO</w:t>
            </w:r>
            <w:r w:rsidR="00F818C0">
              <w:rPr>
                <w:bCs/>
                <w:sz w:val="22"/>
                <w:szCs w:val="22"/>
              </w:rPr>
              <w:t xml:space="preserve"> </w:t>
            </w:r>
            <w:r>
              <w:rPr>
                <w:bCs/>
                <w:sz w:val="22"/>
                <w:szCs w:val="22"/>
              </w:rPr>
              <w:t>Cvjetno naselje i</w:t>
            </w:r>
            <w:r w:rsidR="00F818C0">
              <w:rPr>
                <w:bCs/>
                <w:sz w:val="22"/>
                <w:szCs w:val="22"/>
              </w:rPr>
              <w:t xml:space="preserve"> </w:t>
            </w:r>
            <w:r w:rsidR="00F818C0">
              <w:rPr>
                <w:bCs/>
                <w:sz w:val="22"/>
                <w:szCs w:val="22"/>
              </w:rPr>
              <w:t>VMO</w:t>
            </w:r>
            <w:r>
              <w:rPr>
                <w:bCs/>
                <w:sz w:val="22"/>
                <w:szCs w:val="22"/>
              </w:rPr>
              <w:t xml:space="preserve"> Savski kuti inicirali su spajanje u jedan mjesni odbor, a VGČ Trnje je inicijativu podržalo.</w:t>
            </w:r>
            <w:r w:rsidR="00F818C0">
              <w:rPr>
                <w:bCs/>
                <w:sz w:val="22"/>
                <w:szCs w:val="22"/>
              </w:rPr>
              <w:t xml:space="preserve"> </w:t>
            </w:r>
          </w:p>
        </w:tc>
      </w:tr>
      <w:tr w:rsidR="00BB1029" w14:paraId="29CFD42D" w14:textId="77777777" w:rsidTr="00275D9F">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6B2042B0" w14:textId="34AD2754" w:rsidR="00BB1029" w:rsidRDefault="004E0B33" w:rsidP="00BB1029">
            <w:pPr>
              <w:widowControl w:val="0"/>
              <w:jc w:val="right"/>
              <w:rPr>
                <w:sz w:val="22"/>
                <w:szCs w:val="22"/>
              </w:rPr>
            </w:pPr>
            <w:r>
              <w:rPr>
                <w:sz w:val="22"/>
                <w:szCs w:val="22"/>
              </w:rPr>
              <w:lastRenderedPageBreak/>
              <w:t>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4FAB4D67" w14:textId="790B548C" w:rsidR="00BB1029" w:rsidRDefault="004E0B33" w:rsidP="00BB1029">
            <w:pPr>
              <w:widowControl w:val="0"/>
              <w:rPr>
                <w:sz w:val="22"/>
                <w:szCs w:val="22"/>
              </w:rPr>
            </w:pPr>
            <w:r>
              <w:rPr>
                <w:sz w:val="22"/>
                <w:szCs w:val="22"/>
              </w:rPr>
              <w:t>VGČ Novi Zagreb - istok</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79C53ECF" w14:textId="3FEE2E15" w:rsidR="00BB1029" w:rsidRDefault="004E0B33" w:rsidP="00BB1029">
            <w:pPr>
              <w:widowControl w:val="0"/>
              <w:rPr>
                <w:sz w:val="22"/>
                <w:szCs w:val="22"/>
              </w:rPr>
            </w:pPr>
            <w:r>
              <w:rPr>
                <w:sz w:val="22"/>
                <w:szCs w:val="22"/>
              </w:rPr>
              <w:t>Članak 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F07759A" w14:textId="5C46AE05" w:rsidR="00BB1029" w:rsidRDefault="004E0B33" w:rsidP="00BB1029">
            <w:pPr>
              <w:widowControl w:val="0"/>
              <w:jc w:val="both"/>
            </w:pPr>
            <w:r>
              <w:t>Predlaže se promjena naziva Mjesnog odbora Utrine u Mjesni odbor Utrina.</w:t>
            </w:r>
          </w:p>
        </w:tc>
        <w:tc>
          <w:tcPr>
            <w:tcW w:w="2552" w:type="dxa"/>
            <w:tcBorders>
              <w:top w:val="single" w:sz="4" w:space="0" w:color="000000"/>
              <w:left w:val="single" w:sz="4" w:space="0" w:color="000000"/>
              <w:bottom w:val="single" w:sz="4" w:space="0" w:color="000000"/>
              <w:right w:val="thinThickSmallGap" w:sz="24" w:space="0" w:color="000000"/>
            </w:tcBorders>
            <w:shd w:val="clear" w:color="auto" w:fill="auto"/>
          </w:tcPr>
          <w:p w14:paraId="1037EBC6" w14:textId="77777777" w:rsidR="00BB1029" w:rsidRDefault="004E0B33" w:rsidP="00BB1029">
            <w:pPr>
              <w:widowControl w:val="0"/>
              <w:jc w:val="both"/>
              <w:rPr>
                <w:b/>
                <w:bCs/>
                <w:sz w:val="22"/>
                <w:szCs w:val="22"/>
              </w:rPr>
            </w:pPr>
            <w:r w:rsidRPr="004E0B33">
              <w:rPr>
                <w:b/>
                <w:bCs/>
                <w:sz w:val="22"/>
                <w:szCs w:val="22"/>
              </w:rPr>
              <w:t>Prijedlog se prihvaća.</w:t>
            </w:r>
          </w:p>
          <w:p w14:paraId="35D368EA" w14:textId="77777777" w:rsidR="00442CC1" w:rsidRDefault="00442CC1" w:rsidP="00BB1029">
            <w:pPr>
              <w:widowControl w:val="0"/>
              <w:jc w:val="both"/>
              <w:rPr>
                <w:b/>
                <w:bCs/>
                <w:sz w:val="22"/>
                <w:szCs w:val="22"/>
              </w:rPr>
            </w:pPr>
          </w:p>
          <w:p w14:paraId="619EF2A7" w14:textId="0A6CAC8E" w:rsidR="00442CC1" w:rsidRPr="004E0B33" w:rsidRDefault="00442CC1" w:rsidP="00442CC1">
            <w:pPr>
              <w:widowControl w:val="0"/>
              <w:rPr>
                <w:b/>
                <w:bCs/>
                <w:sz w:val="22"/>
                <w:szCs w:val="22"/>
              </w:rPr>
            </w:pPr>
            <w:r w:rsidRPr="00442CC1">
              <w:rPr>
                <w:sz w:val="22"/>
                <w:szCs w:val="22"/>
              </w:rPr>
              <w:t>Prijedlog je podnesen sukladno članku 4</w:t>
            </w:r>
            <w:r>
              <w:rPr>
                <w:b/>
                <w:bCs/>
                <w:sz w:val="22"/>
                <w:szCs w:val="22"/>
              </w:rPr>
              <w:t xml:space="preserve">. </w:t>
            </w:r>
            <w:r>
              <w:rPr>
                <w:bCs/>
                <w:sz w:val="22"/>
                <w:szCs w:val="22"/>
              </w:rPr>
              <w:t xml:space="preserve">Odluke o osnivanju mjesnih odbora (7/09, 12/10, 4/13, 5/17, 28/20, 4/21, 5/21 – </w:t>
            </w:r>
            <w:proofErr w:type="spellStart"/>
            <w:r>
              <w:rPr>
                <w:bCs/>
                <w:sz w:val="22"/>
                <w:szCs w:val="22"/>
              </w:rPr>
              <w:t>ispr</w:t>
            </w:r>
            <w:proofErr w:type="spellEnd"/>
            <w:r>
              <w:rPr>
                <w:bCs/>
                <w:sz w:val="22"/>
                <w:szCs w:val="22"/>
              </w:rPr>
              <w:t>.).</w:t>
            </w:r>
          </w:p>
        </w:tc>
      </w:tr>
      <w:tr w:rsidR="00BB1029" w14:paraId="32C77152" w14:textId="77777777" w:rsidTr="00275D9F">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250B7E38" w14:textId="05B7E63C" w:rsidR="00BB1029" w:rsidRDefault="004E0B33" w:rsidP="00BB1029">
            <w:pPr>
              <w:widowControl w:val="0"/>
              <w:jc w:val="right"/>
              <w:rPr>
                <w:sz w:val="22"/>
                <w:szCs w:val="22"/>
              </w:rPr>
            </w:pPr>
            <w:r>
              <w:rPr>
                <w:sz w:val="22"/>
                <w:szCs w:val="22"/>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44F5E2D7" w14:textId="66908C5F" w:rsidR="004E0B33" w:rsidRDefault="004E0B33" w:rsidP="00BB1029">
            <w:pPr>
              <w:widowControl w:val="0"/>
            </w:pPr>
            <w:r>
              <w:t>VGČ Donji grad</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280C2A4C" w14:textId="01D0A69D" w:rsidR="00BB1029" w:rsidRDefault="004E0B33" w:rsidP="00BB1029">
            <w:pPr>
              <w:widowControl w:val="0"/>
              <w:rPr>
                <w:sz w:val="22"/>
                <w:szCs w:val="22"/>
              </w:rPr>
            </w:pPr>
            <w:r>
              <w:rPr>
                <w:sz w:val="22"/>
                <w:szCs w:val="22"/>
              </w:rPr>
              <w:t>Članak 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FEC0360" w14:textId="77777777" w:rsidR="004E0B33" w:rsidRDefault="004E0B33" w:rsidP="004E0B33">
            <w:r>
              <w:t xml:space="preserve">Na osnovi zaključaka mjesnih odbora Matko </w:t>
            </w:r>
            <w:proofErr w:type="spellStart"/>
            <w:r>
              <w:t>Laginja</w:t>
            </w:r>
            <w:proofErr w:type="spellEnd"/>
            <w:r>
              <w:t xml:space="preserve">, Nadbiskup Antun Bauer i Pavao Šubić donesenih prvom polovinom listopada te Zaključka Vijeća Gradske četvrti Donji grad, koji su poslani kao prilog obrascu, predlaže se spajanje navedena tri mjesna odbora u jedan mjesni odbor pod nazivom 'Mjesni odbor Fra Grga Martić' te da mu sjedište bude u prostoru sadašnjeg Mjesnog odbora Matko </w:t>
            </w:r>
            <w:proofErr w:type="spellStart"/>
            <w:r>
              <w:t>Laginja</w:t>
            </w:r>
            <w:proofErr w:type="spellEnd"/>
            <w:r>
              <w:t xml:space="preserve"> na adresi Ulica Matka </w:t>
            </w:r>
            <w:proofErr w:type="spellStart"/>
            <w:r>
              <w:t>Laginje</w:t>
            </w:r>
            <w:proofErr w:type="spellEnd"/>
            <w:r>
              <w:t xml:space="preserve"> 11.</w:t>
            </w:r>
          </w:p>
          <w:p w14:paraId="68A642F0" w14:textId="6F277D5A" w:rsidR="00BB1029" w:rsidRDefault="004E0B33" w:rsidP="00777753">
            <w:r>
              <w:t>Sukladno prethodno navedenom predlažemo izmjenu članka 1. Odluke o izmjenama Odluke o osnivanju mjesnih odbora kako bi se uskladio s ovom prijedlogom.</w:t>
            </w:r>
          </w:p>
        </w:tc>
        <w:tc>
          <w:tcPr>
            <w:tcW w:w="2552" w:type="dxa"/>
            <w:tcBorders>
              <w:top w:val="single" w:sz="4" w:space="0" w:color="000000"/>
              <w:left w:val="single" w:sz="4" w:space="0" w:color="000000"/>
              <w:bottom w:val="single" w:sz="4" w:space="0" w:color="000000"/>
              <w:right w:val="thinThickSmallGap" w:sz="24" w:space="0" w:color="000000"/>
            </w:tcBorders>
            <w:shd w:val="clear" w:color="auto" w:fill="auto"/>
          </w:tcPr>
          <w:p w14:paraId="51E0F5DD" w14:textId="77777777" w:rsidR="00BB1029" w:rsidRDefault="004E0B33" w:rsidP="00BB1029">
            <w:pPr>
              <w:widowControl w:val="0"/>
              <w:shd w:val="clear" w:color="auto" w:fill="FFFFFF"/>
              <w:jc w:val="both"/>
              <w:rPr>
                <w:b/>
                <w:bCs/>
                <w:sz w:val="22"/>
                <w:szCs w:val="22"/>
              </w:rPr>
            </w:pPr>
            <w:r w:rsidRPr="004E0B33">
              <w:rPr>
                <w:b/>
                <w:bCs/>
                <w:sz w:val="22"/>
                <w:szCs w:val="22"/>
              </w:rPr>
              <w:t>Prijedlog se prihvaća.</w:t>
            </w:r>
          </w:p>
          <w:p w14:paraId="596C381A" w14:textId="77777777" w:rsidR="00442CC1" w:rsidRDefault="00442CC1" w:rsidP="00BB1029">
            <w:pPr>
              <w:widowControl w:val="0"/>
              <w:shd w:val="clear" w:color="auto" w:fill="FFFFFF"/>
              <w:jc w:val="both"/>
              <w:rPr>
                <w:b/>
                <w:bCs/>
                <w:sz w:val="22"/>
                <w:szCs w:val="22"/>
              </w:rPr>
            </w:pPr>
          </w:p>
          <w:p w14:paraId="14F5BFB0" w14:textId="3E44EFD5" w:rsidR="00442CC1" w:rsidRPr="00D95884" w:rsidRDefault="00442CC1" w:rsidP="00BB1029">
            <w:pPr>
              <w:widowControl w:val="0"/>
              <w:shd w:val="clear" w:color="auto" w:fill="FFFFFF"/>
              <w:jc w:val="both"/>
              <w:rPr>
                <w:bCs/>
                <w:sz w:val="22"/>
                <w:szCs w:val="22"/>
              </w:rPr>
            </w:pPr>
            <w:r w:rsidRPr="00442CC1">
              <w:rPr>
                <w:sz w:val="22"/>
                <w:szCs w:val="22"/>
              </w:rPr>
              <w:t>Prijedlog je podnesen sukladno članku 4</w:t>
            </w:r>
            <w:r>
              <w:rPr>
                <w:b/>
                <w:bCs/>
                <w:sz w:val="22"/>
                <w:szCs w:val="22"/>
              </w:rPr>
              <w:t xml:space="preserve">. </w:t>
            </w:r>
            <w:r>
              <w:rPr>
                <w:bCs/>
                <w:sz w:val="22"/>
                <w:szCs w:val="22"/>
              </w:rPr>
              <w:t xml:space="preserve">Odluke o osnivanju mjesnih odbora (7/09, 12/10, 4/13, 5/17, 28/20, 4/21, 5/21 – </w:t>
            </w:r>
            <w:proofErr w:type="spellStart"/>
            <w:r>
              <w:rPr>
                <w:bCs/>
                <w:sz w:val="22"/>
                <w:szCs w:val="22"/>
              </w:rPr>
              <w:t>ispr</w:t>
            </w:r>
            <w:proofErr w:type="spellEnd"/>
            <w:r>
              <w:rPr>
                <w:bCs/>
                <w:sz w:val="22"/>
                <w:szCs w:val="22"/>
              </w:rPr>
              <w:t>.).</w:t>
            </w:r>
          </w:p>
        </w:tc>
      </w:tr>
      <w:tr w:rsidR="00777753" w14:paraId="3AB7CBBE" w14:textId="77777777" w:rsidTr="00275D9F">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28531AFA" w14:textId="0FCEA4E2" w:rsidR="00777753" w:rsidRDefault="00777753" w:rsidP="00777753">
            <w:pPr>
              <w:widowControl w:val="0"/>
              <w:jc w:val="right"/>
              <w:rPr>
                <w:sz w:val="22"/>
                <w:szCs w:val="22"/>
              </w:rPr>
            </w:pPr>
            <w:r>
              <w:rPr>
                <w:sz w:val="22"/>
                <w:szCs w:val="22"/>
              </w:rPr>
              <w:t>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173EA78A" w14:textId="18BC4464" w:rsidR="00777753" w:rsidRDefault="00777753" w:rsidP="00777753">
            <w:pPr>
              <w:widowControl w:val="0"/>
              <w:rPr>
                <w:sz w:val="22"/>
                <w:szCs w:val="22"/>
              </w:rPr>
            </w:pPr>
            <w:r>
              <w:rPr>
                <w:sz w:val="22"/>
                <w:szCs w:val="22"/>
              </w:rPr>
              <w:t>VGČ Trnje</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05576C26" w14:textId="5443ECEB" w:rsidR="00777753" w:rsidRDefault="00777753" w:rsidP="00777753">
            <w:pPr>
              <w:widowControl w:val="0"/>
              <w:rPr>
                <w:sz w:val="22"/>
                <w:szCs w:val="22"/>
              </w:rPr>
            </w:pPr>
            <w:r>
              <w:rPr>
                <w:sz w:val="22"/>
                <w:szCs w:val="22"/>
              </w:rPr>
              <w:t>Članak 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47C366A" w14:textId="77777777" w:rsidR="00777753" w:rsidRPr="0053108D" w:rsidRDefault="00777753" w:rsidP="00777753">
            <w:pPr>
              <w:pStyle w:val="Default"/>
              <w:rPr>
                <w:bCs/>
              </w:rPr>
            </w:pPr>
            <w:r w:rsidRPr="0053108D">
              <w:rPr>
                <w:bCs/>
              </w:rPr>
              <w:t>U Gradskoj četvrt</w:t>
            </w:r>
            <w:r>
              <w:rPr>
                <w:bCs/>
              </w:rPr>
              <w:t xml:space="preserve">i Trnje dodatno se predlaže spajanje dva mjesna odbora: Cvjetnica i Vrbik </w:t>
            </w:r>
            <w:r w:rsidRPr="0053108D">
              <w:rPr>
                <w:bCs/>
              </w:rPr>
              <w:t xml:space="preserve">na način da čine jedan Mjesni odbor koji </w:t>
            </w:r>
            <w:r>
              <w:rPr>
                <w:bCs/>
              </w:rPr>
              <w:t>bi nosio naziv: Vrbik. Ovo su sa</w:t>
            </w:r>
            <w:r w:rsidRPr="0053108D">
              <w:rPr>
                <w:bCs/>
              </w:rPr>
              <w:t xml:space="preserve"> zaključcima na svojim sjednicama inicirala mjesno</w:t>
            </w:r>
            <w:r>
              <w:rPr>
                <w:bCs/>
              </w:rPr>
              <w:t xml:space="preserve"> nadležna vijeća mjesnih odbora, Vijeće gradske četvrti Trnje je potvrdilo prijedlog inicijative Zaključkom na svojoj 41. sjednici 29.listopada 2024.</w:t>
            </w:r>
          </w:p>
          <w:p w14:paraId="617DC61B" w14:textId="77777777" w:rsidR="00777753" w:rsidRDefault="00777753" w:rsidP="00777753">
            <w:pPr>
              <w:widowControl w:val="0"/>
              <w:jc w:val="both"/>
              <w:rPr>
                <w:color w:val="000000" w:themeColor="text1"/>
              </w:rPr>
            </w:pPr>
          </w:p>
        </w:tc>
        <w:tc>
          <w:tcPr>
            <w:tcW w:w="2552" w:type="dxa"/>
            <w:tcBorders>
              <w:top w:val="single" w:sz="4" w:space="0" w:color="000000"/>
              <w:left w:val="single" w:sz="4" w:space="0" w:color="000000"/>
              <w:bottom w:val="single" w:sz="4" w:space="0" w:color="000000"/>
              <w:right w:val="thinThickSmallGap" w:sz="24" w:space="0" w:color="000000"/>
            </w:tcBorders>
            <w:shd w:val="clear" w:color="auto" w:fill="auto"/>
          </w:tcPr>
          <w:p w14:paraId="60542270" w14:textId="77777777" w:rsidR="00777753" w:rsidRDefault="00777753" w:rsidP="00777753">
            <w:pPr>
              <w:widowControl w:val="0"/>
              <w:shd w:val="clear" w:color="auto" w:fill="FFFFFF"/>
              <w:jc w:val="both"/>
              <w:rPr>
                <w:b/>
                <w:bCs/>
                <w:sz w:val="22"/>
                <w:szCs w:val="22"/>
              </w:rPr>
            </w:pPr>
            <w:r w:rsidRPr="004E0B33">
              <w:rPr>
                <w:b/>
                <w:bCs/>
                <w:sz w:val="22"/>
                <w:szCs w:val="22"/>
              </w:rPr>
              <w:t>Prijedlog se prihvaća.</w:t>
            </w:r>
          </w:p>
          <w:p w14:paraId="16B9FE67" w14:textId="77777777" w:rsidR="00777753" w:rsidRDefault="00777753" w:rsidP="00777753">
            <w:pPr>
              <w:widowControl w:val="0"/>
              <w:shd w:val="clear" w:color="auto" w:fill="FFFFFF"/>
              <w:jc w:val="both"/>
              <w:rPr>
                <w:b/>
                <w:bCs/>
                <w:sz w:val="22"/>
                <w:szCs w:val="22"/>
              </w:rPr>
            </w:pPr>
          </w:p>
          <w:p w14:paraId="21A464B2" w14:textId="7861757B" w:rsidR="00777753" w:rsidRDefault="00777753" w:rsidP="00777753">
            <w:pPr>
              <w:widowControl w:val="0"/>
              <w:shd w:val="clear" w:color="auto" w:fill="FFFFFF"/>
              <w:rPr>
                <w:bCs/>
                <w:color w:val="FF0000"/>
                <w:sz w:val="22"/>
                <w:szCs w:val="22"/>
              </w:rPr>
            </w:pPr>
            <w:r w:rsidRPr="00442CC1">
              <w:rPr>
                <w:sz w:val="22"/>
                <w:szCs w:val="22"/>
              </w:rPr>
              <w:t>Prijedlog je podnesen sukladno članku 4</w:t>
            </w:r>
            <w:r>
              <w:rPr>
                <w:b/>
                <w:bCs/>
                <w:sz w:val="22"/>
                <w:szCs w:val="22"/>
              </w:rPr>
              <w:t xml:space="preserve">. </w:t>
            </w:r>
            <w:r>
              <w:rPr>
                <w:bCs/>
                <w:sz w:val="22"/>
                <w:szCs w:val="22"/>
              </w:rPr>
              <w:t xml:space="preserve">Odluke o osnivanju mjesnih odbora (7/09, 12/10, 4/13, 5/17, 28/20, 4/21, 5/21 – </w:t>
            </w:r>
            <w:proofErr w:type="spellStart"/>
            <w:r>
              <w:rPr>
                <w:bCs/>
                <w:sz w:val="22"/>
                <w:szCs w:val="22"/>
              </w:rPr>
              <w:t>ispr</w:t>
            </w:r>
            <w:proofErr w:type="spellEnd"/>
            <w:r>
              <w:rPr>
                <w:bCs/>
                <w:sz w:val="22"/>
                <w:szCs w:val="22"/>
              </w:rPr>
              <w:t>.).</w:t>
            </w:r>
          </w:p>
        </w:tc>
      </w:tr>
      <w:tr w:rsidR="008B14EA" w14:paraId="00CE177F" w14:textId="77777777" w:rsidTr="00275D9F">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38101203" w14:textId="12B8D6C4" w:rsidR="008B14EA" w:rsidRDefault="008B14EA" w:rsidP="008B14EA">
            <w:pPr>
              <w:widowControl w:val="0"/>
              <w:jc w:val="right"/>
              <w:rPr>
                <w:sz w:val="22"/>
                <w:szCs w:val="22"/>
              </w:rPr>
            </w:pPr>
            <w:r>
              <w:rPr>
                <w:sz w:val="22"/>
                <w:szCs w:val="22"/>
              </w:rPr>
              <w:t>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3912902D" w14:textId="5E6A723D" w:rsidR="008B14EA" w:rsidRDefault="008B14EA" w:rsidP="008B14EA">
            <w:pPr>
              <w:widowControl w:val="0"/>
              <w:rPr>
                <w:sz w:val="22"/>
                <w:szCs w:val="22"/>
              </w:rPr>
            </w:pPr>
            <w:r>
              <w:rPr>
                <w:sz w:val="22"/>
                <w:szCs w:val="22"/>
              </w:rPr>
              <w:t>Građanin J.H.</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1831DD53" w14:textId="545BADB7" w:rsidR="008B14EA" w:rsidRDefault="008B14EA" w:rsidP="008B14EA">
            <w:pPr>
              <w:widowControl w:val="0"/>
              <w:rPr>
                <w:sz w:val="22"/>
                <w:szCs w:val="22"/>
              </w:rPr>
            </w:pPr>
            <w:r>
              <w:rPr>
                <w:sz w:val="22"/>
                <w:szCs w:val="22"/>
              </w:rPr>
              <w:t>Članak 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66F3A7F" w14:textId="77777777" w:rsidR="008B14EA" w:rsidRPr="008B14EA" w:rsidRDefault="008B14EA" w:rsidP="008B14EA">
            <w:pPr>
              <w:widowControl w:val="0"/>
            </w:pPr>
            <w:r w:rsidRPr="008B14EA">
              <w:t xml:space="preserve">Iako to u aktu nije navedeno, u planu je i spajanje MO Dinko Šimunović sa MO Dobri dol što predstavlja dodatak besmislenom eksperimentu na području GČ Maksimir. Spajanja mjesnih odbora načinjena su prema političkom ključu, odnosno spajaju se mjesni odbori u kojima stranka Možemo ima većinu. Da je politička konstelacija drugačija, karta bi se prekrajala na drugačiji način. Dakle, cijela ova inicijativa zasniva se na političkom nasilju, bez stručnih </w:t>
            </w:r>
            <w:r w:rsidRPr="008B14EA">
              <w:lastRenderedPageBreak/>
              <w:t>pokazatelja, analiza i izračuna potencijalnih benefita za građane. Prezentirane su paušalne i isprazne floskule bez i jedne konkretne činjenice koje bi ukazivale na svrsishodnost ovog zahvata. U prilog tezi političkog nasilja govori i činjenica da je na 40. sjednici Vijeća MO Dinko Šimunović, održanoj 17.09.2024. Vijeće većinom glasova odbacilo inicijativu za spajanje mjesnih odbora, da bi nakon toga 10.10.2024. bila sazvana nova sjednica na kojoj je nakon stranačkog discipliniranja izglasano spajanje sa MO Dobri dol.</w:t>
            </w:r>
          </w:p>
          <w:p w14:paraId="1423F0C2" w14:textId="77777777" w:rsidR="008B14EA" w:rsidRPr="008B14EA" w:rsidRDefault="008B14EA" w:rsidP="008B14EA">
            <w:pPr>
              <w:widowControl w:val="0"/>
            </w:pPr>
            <w:r w:rsidRPr="008B14EA">
              <w:t>Prema tome, ova odluka je nametnuta 'odozgo' te će se vjerojatno provesti suprotno prvotnim stavovima vijećnika MO Dinko Šimunović.</w:t>
            </w:r>
          </w:p>
          <w:p w14:paraId="0DE2D724" w14:textId="41D7F50E" w:rsidR="008B14EA" w:rsidRPr="008B14EA" w:rsidRDefault="008B14EA" w:rsidP="008B14EA">
            <w:pPr>
              <w:widowControl w:val="0"/>
            </w:pPr>
            <w:r w:rsidRPr="008B14EA">
              <w:t>Držim da se ozbiljni pristup reformi lokalne samouprave ne može raditi na ovakav način jer će konačni rezultati biti poražavajući. Bez ozbiljne analize prostornih, socijalnih, prometnih i inih čimbenika na određenom području nije moguće nesuvislim političkim odlukama postići stvarni boljitak za građane a samim time ni bolju kvalitetu života u gradu. Nažalost, ponašamo se kao da je 1945.-ta a takvi će biti i rezultati ove 'reforme'.</w:t>
            </w:r>
          </w:p>
        </w:tc>
        <w:tc>
          <w:tcPr>
            <w:tcW w:w="2552" w:type="dxa"/>
            <w:tcBorders>
              <w:top w:val="single" w:sz="4" w:space="0" w:color="000000"/>
              <w:left w:val="single" w:sz="4" w:space="0" w:color="000000"/>
              <w:bottom w:val="single" w:sz="4" w:space="0" w:color="000000"/>
              <w:right w:val="thinThickSmallGap" w:sz="24" w:space="0" w:color="000000"/>
            </w:tcBorders>
            <w:shd w:val="clear" w:color="auto" w:fill="auto"/>
          </w:tcPr>
          <w:p w14:paraId="33D1BA40" w14:textId="77777777" w:rsidR="008B14EA" w:rsidRDefault="008B14EA" w:rsidP="008B14EA">
            <w:pPr>
              <w:widowControl w:val="0"/>
              <w:shd w:val="clear" w:color="auto" w:fill="FFFFFF"/>
              <w:jc w:val="both"/>
              <w:rPr>
                <w:bCs/>
                <w:sz w:val="22"/>
                <w:szCs w:val="22"/>
              </w:rPr>
            </w:pPr>
            <w:r>
              <w:rPr>
                <w:b/>
                <w:bCs/>
                <w:sz w:val="22"/>
                <w:szCs w:val="22"/>
              </w:rPr>
              <w:lastRenderedPageBreak/>
              <w:t>Ne prihvaća se.</w:t>
            </w:r>
            <w:r>
              <w:rPr>
                <w:bCs/>
                <w:sz w:val="22"/>
                <w:szCs w:val="22"/>
              </w:rPr>
              <w:t xml:space="preserve"> </w:t>
            </w:r>
          </w:p>
          <w:p w14:paraId="0FE30950" w14:textId="77777777" w:rsidR="008B14EA" w:rsidRDefault="008B14EA" w:rsidP="008B14EA">
            <w:pPr>
              <w:widowControl w:val="0"/>
              <w:shd w:val="clear" w:color="auto" w:fill="FFFFFF"/>
              <w:jc w:val="both"/>
              <w:rPr>
                <w:bCs/>
                <w:sz w:val="22"/>
                <w:szCs w:val="22"/>
              </w:rPr>
            </w:pPr>
          </w:p>
          <w:p w14:paraId="109BE035" w14:textId="77777777" w:rsidR="001D2C5A" w:rsidRDefault="008B14EA" w:rsidP="001D2C5A">
            <w:pPr>
              <w:widowControl w:val="0"/>
              <w:rPr>
                <w:bCs/>
                <w:sz w:val="22"/>
                <w:szCs w:val="22"/>
              </w:rPr>
            </w:pPr>
            <w:r>
              <w:rPr>
                <w:bCs/>
                <w:sz w:val="22"/>
                <w:szCs w:val="22"/>
              </w:rPr>
              <w:t xml:space="preserve">Sukladno članku 4. Odluke o osnivanju mjesnih odbora (7/09, 12/10, 4/13, 5/17, 28/20, 4/21, 5/21 – </w:t>
            </w:r>
            <w:proofErr w:type="spellStart"/>
            <w:r>
              <w:rPr>
                <w:bCs/>
                <w:sz w:val="22"/>
                <w:szCs w:val="22"/>
              </w:rPr>
              <w:t>ispr</w:t>
            </w:r>
            <w:proofErr w:type="spellEnd"/>
            <w:r>
              <w:rPr>
                <w:bCs/>
                <w:sz w:val="22"/>
                <w:szCs w:val="22"/>
              </w:rPr>
              <w:t>.)</w:t>
            </w:r>
            <w:r w:rsidR="001D2C5A">
              <w:rPr>
                <w:bCs/>
                <w:sz w:val="22"/>
                <w:szCs w:val="22"/>
              </w:rPr>
              <w:t xml:space="preserve"> promjene područja mjesnih odbor može inicirati vijeće mjesnog odbora, a vijeće gradske četvrti će istu razmotriti </w:t>
            </w:r>
            <w:r w:rsidR="001D2C5A">
              <w:rPr>
                <w:bCs/>
                <w:sz w:val="22"/>
                <w:szCs w:val="22"/>
              </w:rPr>
              <w:lastRenderedPageBreak/>
              <w:t xml:space="preserve">nakon pribavljenog mišljenja vijeća onih mjesnih odbora za koje se predlaže promjena područja. </w:t>
            </w:r>
          </w:p>
          <w:p w14:paraId="3F88DE8A" w14:textId="32611318" w:rsidR="008B14EA" w:rsidRDefault="001D2C5A" w:rsidP="001D2C5A">
            <w:pPr>
              <w:rPr>
                <w:bCs/>
                <w:color w:val="FF0000"/>
                <w:sz w:val="22"/>
                <w:szCs w:val="22"/>
              </w:rPr>
            </w:pPr>
            <w:r>
              <w:rPr>
                <w:bCs/>
                <w:sz w:val="22"/>
                <w:szCs w:val="22"/>
              </w:rPr>
              <w:t xml:space="preserve">VMO „Dinko Šimunović“ i </w:t>
            </w:r>
            <w:r w:rsidR="00F818C0">
              <w:rPr>
                <w:bCs/>
                <w:sz w:val="22"/>
                <w:szCs w:val="22"/>
              </w:rPr>
              <w:t xml:space="preserve">VMO </w:t>
            </w:r>
            <w:r>
              <w:rPr>
                <w:bCs/>
                <w:sz w:val="22"/>
                <w:szCs w:val="22"/>
              </w:rPr>
              <w:t>Dobri dol inicirali</w:t>
            </w:r>
            <w:r w:rsidR="00F818C0">
              <w:rPr>
                <w:bCs/>
                <w:sz w:val="22"/>
                <w:szCs w:val="22"/>
              </w:rPr>
              <w:t xml:space="preserve"> </w:t>
            </w:r>
            <w:r>
              <w:rPr>
                <w:bCs/>
                <w:sz w:val="22"/>
                <w:szCs w:val="22"/>
              </w:rPr>
              <w:t xml:space="preserve">su spajanje u jedan mjesni odbor, a VGČ Maksimir je inicijativu podržalo te je time </w:t>
            </w:r>
            <w:r w:rsidR="00F818C0">
              <w:rPr>
                <w:bCs/>
                <w:sz w:val="22"/>
                <w:szCs w:val="22"/>
              </w:rPr>
              <w:t>odrađena propisana</w:t>
            </w:r>
            <w:r>
              <w:rPr>
                <w:bCs/>
                <w:sz w:val="22"/>
                <w:szCs w:val="22"/>
              </w:rPr>
              <w:t xml:space="preserve"> procedura.</w:t>
            </w:r>
          </w:p>
        </w:tc>
      </w:tr>
      <w:tr w:rsidR="00236040" w14:paraId="0EF9D936" w14:textId="77777777" w:rsidTr="00275D9F">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7D6821EC" w14:textId="00DFF855" w:rsidR="00236040" w:rsidRDefault="00236040" w:rsidP="00236040">
            <w:pPr>
              <w:widowControl w:val="0"/>
              <w:jc w:val="right"/>
              <w:rPr>
                <w:sz w:val="22"/>
                <w:szCs w:val="22"/>
              </w:rPr>
            </w:pPr>
            <w:r>
              <w:rPr>
                <w:sz w:val="22"/>
                <w:szCs w:val="22"/>
              </w:rPr>
              <w:lastRenderedPageBreak/>
              <w:t>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1EEA632F" w14:textId="436B9604" w:rsidR="00236040" w:rsidRDefault="00236040" w:rsidP="00236040">
            <w:pPr>
              <w:widowControl w:val="0"/>
              <w:rPr>
                <w:sz w:val="22"/>
                <w:szCs w:val="22"/>
              </w:rPr>
            </w:pPr>
            <w:r>
              <w:rPr>
                <w:sz w:val="22"/>
                <w:szCs w:val="22"/>
              </w:rPr>
              <w:t>VGČ Maksimir</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0E082F3E" w14:textId="743290E4" w:rsidR="00236040" w:rsidRDefault="00236040" w:rsidP="00236040">
            <w:pPr>
              <w:widowControl w:val="0"/>
              <w:rPr>
                <w:sz w:val="22"/>
                <w:szCs w:val="22"/>
              </w:rPr>
            </w:pPr>
            <w:r>
              <w:rPr>
                <w:sz w:val="22"/>
                <w:szCs w:val="22"/>
              </w:rPr>
              <w:t>Članak 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76CB773" w14:textId="77777777" w:rsidR="00236040" w:rsidRPr="00236040" w:rsidRDefault="00236040" w:rsidP="00236040">
            <w:pPr>
              <w:widowControl w:val="0"/>
              <w:jc w:val="both"/>
            </w:pPr>
            <w:r w:rsidRPr="00236040">
              <w:t>Dodatno se predlaže:</w:t>
            </w:r>
          </w:p>
          <w:p w14:paraId="4579279E" w14:textId="223AC987" w:rsidR="00236040" w:rsidRPr="00236040" w:rsidRDefault="00236040" w:rsidP="00236040">
            <w:pPr>
              <w:widowControl w:val="0"/>
              <w:jc w:val="both"/>
            </w:pPr>
            <w:r w:rsidRPr="00236040">
              <w:t>• spajanje mjesnih odbora „Dinko Šimunović“ i</w:t>
            </w:r>
            <w:r>
              <w:t xml:space="preserve"> </w:t>
            </w:r>
            <w:r w:rsidRPr="00236040">
              <w:t>Dobri dol, u cijelosti – bez dodatnih izmjena</w:t>
            </w:r>
            <w:r>
              <w:t xml:space="preserve"> </w:t>
            </w:r>
            <w:r w:rsidRPr="00236040">
              <w:t>granica, pod zajedničkim nazivom (na prijedlog</w:t>
            </w:r>
            <w:r>
              <w:t xml:space="preserve"> </w:t>
            </w:r>
            <w:r w:rsidRPr="00236040">
              <w:t>Mjesnog odbora Dobri dol) Mjesni odbor</w:t>
            </w:r>
            <w:r>
              <w:t xml:space="preserve"> </w:t>
            </w:r>
            <w:proofErr w:type="spellStart"/>
            <w:r w:rsidRPr="00236040">
              <w:t>Lašćina</w:t>
            </w:r>
            <w:proofErr w:type="spellEnd"/>
            <w:r w:rsidRPr="00236040">
              <w:t>, sa sjedištem u prostoru Mjesnog odbora</w:t>
            </w:r>
            <w:r>
              <w:t xml:space="preserve"> </w:t>
            </w:r>
            <w:r w:rsidRPr="00236040">
              <w:t>Dobri dol, Dobri dol 49.</w:t>
            </w:r>
          </w:p>
          <w:p w14:paraId="31271114" w14:textId="28050050" w:rsidR="00236040" w:rsidRPr="00236040" w:rsidRDefault="00236040" w:rsidP="00236040">
            <w:pPr>
              <w:widowControl w:val="0"/>
              <w:jc w:val="both"/>
            </w:pPr>
            <w:r w:rsidRPr="00236040">
              <w:t>• spajanje mjesnih odbora „Eugena Kvaternik“ i</w:t>
            </w:r>
            <w:r>
              <w:t xml:space="preserve"> </w:t>
            </w:r>
            <w:r w:rsidRPr="00236040">
              <w:t>Ružmarinka, u cijelosti – bez dodatnih izmjena</w:t>
            </w:r>
            <w:r>
              <w:t xml:space="preserve"> </w:t>
            </w:r>
            <w:r w:rsidRPr="00236040">
              <w:t>granica pod zajedničkim nazivom Mjesni odbor</w:t>
            </w:r>
            <w:r>
              <w:t xml:space="preserve"> </w:t>
            </w:r>
            <w:r w:rsidRPr="00236040">
              <w:t>Hrvatskih pjesnika ili Mjesni odbora „Hrvatski</w:t>
            </w:r>
          </w:p>
          <w:p w14:paraId="42C70847" w14:textId="77777777" w:rsidR="00236040" w:rsidRPr="00236040" w:rsidRDefault="00236040" w:rsidP="00236040">
            <w:pPr>
              <w:widowControl w:val="0"/>
              <w:jc w:val="both"/>
            </w:pPr>
            <w:r w:rsidRPr="00236040">
              <w:t>pjesnici“, sa sjedištem u prostoru Mjesnog</w:t>
            </w:r>
          </w:p>
          <w:p w14:paraId="73B6F1DA" w14:textId="01C06625" w:rsidR="00236040" w:rsidRDefault="00236040" w:rsidP="00236040">
            <w:pPr>
              <w:widowControl w:val="0"/>
              <w:jc w:val="both"/>
            </w:pPr>
            <w:r w:rsidRPr="00236040">
              <w:t>odbora Ružmarinka, Ružmarinka 21. Obzirom da</w:t>
            </w:r>
            <w:r>
              <w:t xml:space="preserve"> </w:t>
            </w:r>
            <w:r w:rsidRPr="00236040">
              <w:t>su ulice i u MO „Eugen Kvaternik“ i u MO</w:t>
            </w:r>
            <w:r>
              <w:t xml:space="preserve"> </w:t>
            </w:r>
            <w:r w:rsidRPr="00236040">
              <w:t>Ružmarinka dobile imena po istaknutim</w:t>
            </w:r>
            <w:r>
              <w:t xml:space="preserve"> </w:t>
            </w:r>
            <w:r w:rsidRPr="00236040">
              <w:t>hrvatskim pjesnicima te se mjesni odbori nisu</w:t>
            </w:r>
            <w:r>
              <w:t xml:space="preserve"> </w:t>
            </w:r>
            <w:r w:rsidRPr="00236040">
              <w:t>usuglasili oko naziv, predlaže se da novi mjesni</w:t>
            </w:r>
            <w:r>
              <w:t xml:space="preserve"> </w:t>
            </w:r>
            <w:r w:rsidRPr="00236040">
              <w:t>odbor nosi naziv Mjesni odbor Hrvatskih</w:t>
            </w:r>
            <w:r>
              <w:t xml:space="preserve"> </w:t>
            </w:r>
            <w:r w:rsidRPr="00236040">
              <w:t>pjesnika ili Mjesni odbora „Hrvatski pjesnici“.</w:t>
            </w:r>
          </w:p>
        </w:tc>
        <w:tc>
          <w:tcPr>
            <w:tcW w:w="2552" w:type="dxa"/>
            <w:tcBorders>
              <w:top w:val="single" w:sz="4" w:space="0" w:color="000000"/>
              <w:left w:val="single" w:sz="4" w:space="0" w:color="000000"/>
              <w:bottom w:val="single" w:sz="4" w:space="0" w:color="000000"/>
              <w:right w:val="thinThickSmallGap" w:sz="24" w:space="0" w:color="000000"/>
            </w:tcBorders>
            <w:shd w:val="clear" w:color="auto" w:fill="auto"/>
          </w:tcPr>
          <w:p w14:paraId="0A7A9906" w14:textId="77777777" w:rsidR="00236040" w:rsidRDefault="00236040" w:rsidP="00236040">
            <w:pPr>
              <w:widowControl w:val="0"/>
              <w:shd w:val="clear" w:color="auto" w:fill="FFFFFF"/>
              <w:jc w:val="both"/>
              <w:rPr>
                <w:b/>
                <w:bCs/>
                <w:sz w:val="22"/>
                <w:szCs w:val="22"/>
              </w:rPr>
            </w:pPr>
            <w:r w:rsidRPr="004E0B33">
              <w:rPr>
                <w:b/>
                <w:bCs/>
                <w:sz w:val="22"/>
                <w:szCs w:val="22"/>
              </w:rPr>
              <w:t>Prijedlog se prihvaća.</w:t>
            </w:r>
          </w:p>
          <w:p w14:paraId="1C4D3926" w14:textId="77777777" w:rsidR="00236040" w:rsidRDefault="00236040" w:rsidP="00236040">
            <w:pPr>
              <w:widowControl w:val="0"/>
              <w:shd w:val="clear" w:color="auto" w:fill="FFFFFF"/>
              <w:jc w:val="both"/>
              <w:rPr>
                <w:b/>
                <w:bCs/>
                <w:sz w:val="22"/>
                <w:szCs w:val="22"/>
              </w:rPr>
            </w:pPr>
          </w:p>
          <w:p w14:paraId="66275BCE" w14:textId="59962299" w:rsidR="00236040" w:rsidRDefault="00236040" w:rsidP="00236040">
            <w:pPr>
              <w:jc w:val="both"/>
              <w:rPr>
                <w:bCs/>
                <w:color w:val="FF0000"/>
                <w:sz w:val="22"/>
                <w:szCs w:val="22"/>
              </w:rPr>
            </w:pPr>
            <w:r w:rsidRPr="00442CC1">
              <w:rPr>
                <w:sz w:val="22"/>
                <w:szCs w:val="22"/>
              </w:rPr>
              <w:t>Prijedlog je podnesen sukladno članku 4</w:t>
            </w:r>
            <w:r>
              <w:rPr>
                <w:b/>
                <w:bCs/>
                <w:sz w:val="22"/>
                <w:szCs w:val="22"/>
              </w:rPr>
              <w:t xml:space="preserve">. </w:t>
            </w:r>
            <w:r>
              <w:rPr>
                <w:bCs/>
                <w:sz w:val="22"/>
                <w:szCs w:val="22"/>
              </w:rPr>
              <w:t xml:space="preserve">Odluke o osnivanju mjesnih odbora (7/09, 12/10, 4/13, 5/17, 28/20, 4/21, 5/21 – </w:t>
            </w:r>
            <w:proofErr w:type="spellStart"/>
            <w:r>
              <w:rPr>
                <w:bCs/>
                <w:sz w:val="22"/>
                <w:szCs w:val="22"/>
              </w:rPr>
              <w:t>ispr</w:t>
            </w:r>
            <w:proofErr w:type="spellEnd"/>
            <w:r>
              <w:rPr>
                <w:bCs/>
                <w:sz w:val="22"/>
                <w:szCs w:val="22"/>
              </w:rPr>
              <w:t>.).</w:t>
            </w:r>
          </w:p>
        </w:tc>
      </w:tr>
    </w:tbl>
    <w:p w14:paraId="62EFBD7D" w14:textId="77777777" w:rsidR="003F4B2F" w:rsidRDefault="003F4B2F" w:rsidP="009F0FDA">
      <w:pPr>
        <w:rPr>
          <w:sz w:val="22"/>
          <w:szCs w:val="22"/>
        </w:rPr>
      </w:pPr>
    </w:p>
    <w:sectPr w:rsidR="003F4B2F" w:rsidSect="009F0FDA">
      <w:pgSz w:w="11906" w:h="16838"/>
      <w:pgMar w:top="1079" w:right="1417" w:bottom="1417"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D622A"/>
    <w:multiLevelType w:val="multilevel"/>
    <w:tmpl w:val="3D1A9E90"/>
    <w:lvl w:ilvl="0">
      <w:start w:val="1"/>
      <w:numFmt w:val="decimal"/>
      <w:lvlText w:val="%1."/>
      <w:lvlJc w:val="left"/>
      <w:pPr>
        <w:tabs>
          <w:tab w:val="num" w:pos="207"/>
        </w:tabs>
        <w:ind w:left="927" w:hanging="360"/>
      </w:pPr>
    </w:lvl>
    <w:lvl w:ilvl="1">
      <w:start w:val="1"/>
      <w:numFmt w:val="lowerLetter"/>
      <w:lvlText w:val="%2."/>
      <w:lvlJc w:val="left"/>
      <w:pPr>
        <w:tabs>
          <w:tab w:val="num" w:pos="207"/>
        </w:tabs>
        <w:ind w:left="1647" w:hanging="360"/>
      </w:pPr>
    </w:lvl>
    <w:lvl w:ilvl="2">
      <w:start w:val="1"/>
      <w:numFmt w:val="lowerRoman"/>
      <w:lvlText w:val="%3."/>
      <w:lvlJc w:val="right"/>
      <w:pPr>
        <w:tabs>
          <w:tab w:val="num" w:pos="207"/>
        </w:tabs>
        <w:ind w:left="2367" w:hanging="180"/>
      </w:pPr>
    </w:lvl>
    <w:lvl w:ilvl="3">
      <w:start w:val="1"/>
      <w:numFmt w:val="decimal"/>
      <w:lvlText w:val="%4."/>
      <w:lvlJc w:val="left"/>
      <w:pPr>
        <w:tabs>
          <w:tab w:val="num" w:pos="207"/>
        </w:tabs>
        <w:ind w:left="3087" w:hanging="360"/>
      </w:pPr>
    </w:lvl>
    <w:lvl w:ilvl="4">
      <w:start w:val="1"/>
      <w:numFmt w:val="lowerLetter"/>
      <w:lvlText w:val="%5."/>
      <w:lvlJc w:val="left"/>
      <w:pPr>
        <w:tabs>
          <w:tab w:val="num" w:pos="207"/>
        </w:tabs>
        <w:ind w:left="3807" w:hanging="360"/>
      </w:pPr>
    </w:lvl>
    <w:lvl w:ilvl="5">
      <w:start w:val="1"/>
      <w:numFmt w:val="lowerRoman"/>
      <w:lvlText w:val="%6."/>
      <w:lvlJc w:val="right"/>
      <w:pPr>
        <w:tabs>
          <w:tab w:val="num" w:pos="207"/>
        </w:tabs>
        <w:ind w:left="4527" w:hanging="180"/>
      </w:pPr>
    </w:lvl>
    <w:lvl w:ilvl="6">
      <w:start w:val="1"/>
      <w:numFmt w:val="decimal"/>
      <w:lvlText w:val="%7."/>
      <w:lvlJc w:val="left"/>
      <w:pPr>
        <w:tabs>
          <w:tab w:val="num" w:pos="207"/>
        </w:tabs>
        <w:ind w:left="5247" w:hanging="360"/>
      </w:pPr>
    </w:lvl>
    <w:lvl w:ilvl="7">
      <w:start w:val="1"/>
      <w:numFmt w:val="lowerLetter"/>
      <w:lvlText w:val="%8."/>
      <w:lvlJc w:val="left"/>
      <w:pPr>
        <w:tabs>
          <w:tab w:val="num" w:pos="207"/>
        </w:tabs>
        <w:ind w:left="5967" w:hanging="360"/>
      </w:pPr>
    </w:lvl>
    <w:lvl w:ilvl="8">
      <w:start w:val="1"/>
      <w:numFmt w:val="lowerRoman"/>
      <w:lvlText w:val="%9."/>
      <w:lvlJc w:val="right"/>
      <w:pPr>
        <w:tabs>
          <w:tab w:val="num" w:pos="207"/>
        </w:tabs>
        <w:ind w:left="6687" w:hanging="180"/>
      </w:pPr>
    </w:lvl>
  </w:abstractNum>
  <w:abstractNum w:abstractNumId="1" w15:restartNumberingAfterBreak="0">
    <w:nsid w:val="458C6197"/>
    <w:multiLevelType w:val="multilevel"/>
    <w:tmpl w:val="5900D8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65114417">
    <w:abstractNumId w:val="0"/>
  </w:num>
  <w:num w:numId="2" w16cid:durableId="865294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2F"/>
    <w:rsid w:val="00007878"/>
    <w:rsid w:val="00077CC1"/>
    <w:rsid w:val="00116827"/>
    <w:rsid w:val="00150AC4"/>
    <w:rsid w:val="00192C07"/>
    <w:rsid w:val="001D2C5A"/>
    <w:rsid w:val="00216607"/>
    <w:rsid w:val="00236040"/>
    <w:rsid w:val="0024574D"/>
    <w:rsid w:val="00271148"/>
    <w:rsid w:val="00275D9F"/>
    <w:rsid w:val="002A36F8"/>
    <w:rsid w:val="002B1B5E"/>
    <w:rsid w:val="00381D6B"/>
    <w:rsid w:val="003833F2"/>
    <w:rsid w:val="003D2F67"/>
    <w:rsid w:val="003F2B35"/>
    <w:rsid w:val="003F4B2F"/>
    <w:rsid w:val="00411C17"/>
    <w:rsid w:val="00425E24"/>
    <w:rsid w:val="0042770A"/>
    <w:rsid w:val="00442CC1"/>
    <w:rsid w:val="004642A8"/>
    <w:rsid w:val="004A6B5E"/>
    <w:rsid w:val="004B0A4D"/>
    <w:rsid w:val="004C2DE2"/>
    <w:rsid w:val="004E0B33"/>
    <w:rsid w:val="005356AD"/>
    <w:rsid w:val="006606BC"/>
    <w:rsid w:val="00682829"/>
    <w:rsid w:val="006A3A6F"/>
    <w:rsid w:val="006A5CC6"/>
    <w:rsid w:val="006F1A8D"/>
    <w:rsid w:val="007054C2"/>
    <w:rsid w:val="00716B7E"/>
    <w:rsid w:val="00765E86"/>
    <w:rsid w:val="00770C52"/>
    <w:rsid w:val="00777753"/>
    <w:rsid w:val="007A26F3"/>
    <w:rsid w:val="008304C6"/>
    <w:rsid w:val="008B14EA"/>
    <w:rsid w:val="008C09DF"/>
    <w:rsid w:val="009362A0"/>
    <w:rsid w:val="00961D61"/>
    <w:rsid w:val="009D1B20"/>
    <w:rsid w:val="009E5EC3"/>
    <w:rsid w:val="009F0FDA"/>
    <w:rsid w:val="00A0619C"/>
    <w:rsid w:val="00A53134"/>
    <w:rsid w:val="00A6355E"/>
    <w:rsid w:val="00A86DB2"/>
    <w:rsid w:val="00AB152C"/>
    <w:rsid w:val="00AB5AAC"/>
    <w:rsid w:val="00AB6901"/>
    <w:rsid w:val="00AB7B65"/>
    <w:rsid w:val="00AC444F"/>
    <w:rsid w:val="00B008DA"/>
    <w:rsid w:val="00B17D61"/>
    <w:rsid w:val="00B22258"/>
    <w:rsid w:val="00B23759"/>
    <w:rsid w:val="00B57951"/>
    <w:rsid w:val="00B60659"/>
    <w:rsid w:val="00B668C6"/>
    <w:rsid w:val="00B86AD8"/>
    <w:rsid w:val="00BA65BF"/>
    <w:rsid w:val="00BA7840"/>
    <w:rsid w:val="00BB1029"/>
    <w:rsid w:val="00BC51E7"/>
    <w:rsid w:val="00C16815"/>
    <w:rsid w:val="00C37DD4"/>
    <w:rsid w:val="00C627DF"/>
    <w:rsid w:val="00C85B0A"/>
    <w:rsid w:val="00C86CDF"/>
    <w:rsid w:val="00CB09E8"/>
    <w:rsid w:val="00CE06A8"/>
    <w:rsid w:val="00CE400F"/>
    <w:rsid w:val="00CE4A28"/>
    <w:rsid w:val="00D36E20"/>
    <w:rsid w:val="00D95884"/>
    <w:rsid w:val="00DA5424"/>
    <w:rsid w:val="00DC14D2"/>
    <w:rsid w:val="00E12475"/>
    <w:rsid w:val="00E27EB8"/>
    <w:rsid w:val="00E355E2"/>
    <w:rsid w:val="00E42632"/>
    <w:rsid w:val="00E512C5"/>
    <w:rsid w:val="00E9430B"/>
    <w:rsid w:val="00EB01C5"/>
    <w:rsid w:val="00ED3340"/>
    <w:rsid w:val="00ED71A7"/>
    <w:rsid w:val="00F151B7"/>
    <w:rsid w:val="00F47F35"/>
    <w:rsid w:val="00F818C0"/>
    <w:rsid w:val="00FA40BC"/>
    <w:rsid w:val="00FB74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9BC8"/>
  <w15:docId w15:val="{9B3313DB-A8DE-477B-AA7E-307F9005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2C5A"/>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qFormat/>
    <w:rsid w:val="00FF22DC"/>
    <w:rPr>
      <w:rFonts w:ascii="Tahoma" w:hAnsi="Tahoma" w:cs="Tahoma"/>
      <w:sz w:val="16"/>
      <w:szCs w:val="16"/>
    </w:rPr>
  </w:style>
  <w:style w:type="character" w:styleId="CommentReference">
    <w:name w:val="annotation reference"/>
    <w:qFormat/>
    <w:rsid w:val="000E16C2"/>
    <w:rPr>
      <w:sz w:val="16"/>
      <w:szCs w:val="16"/>
    </w:rPr>
  </w:style>
  <w:style w:type="character" w:customStyle="1" w:styleId="CommentTextChar">
    <w:name w:val="Comment Text Char"/>
    <w:basedOn w:val="DefaultParagraphFont"/>
    <w:link w:val="CommentText"/>
    <w:qFormat/>
    <w:rsid w:val="000E16C2"/>
  </w:style>
  <w:style w:type="character" w:customStyle="1" w:styleId="CommentSubjectChar">
    <w:name w:val="Comment Subject Char"/>
    <w:link w:val="CommentSubject"/>
    <w:qFormat/>
    <w:rsid w:val="000E16C2"/>
    <w:rPr>
      <w:b/>
      <w:bCs/>
    </w:rPr>
  </w:style>
  <w:style w:type="character" w:styleId="Hyperlink">
    <w:name w:val="Hyperlink"/>
    <w:uiPriority w:val="99"/>
    <w:unhideWhenUsed/>
    <w:rsid w:val="003A72F9"/>
    <w:rPr>
      <w:color w:val="0000FF"/>
      <w:u w:val="single"/>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qFormat/>
    <w:rsid w:val="00FF22DC"/>
    <w:rPr>
      <w:rFonts w:ascii="Tahoma" w:hAnsi="Tahoma" w:cs="Tahoma"/>
      <w:sz w:val="16"/>
      <w:szCs w:val="16"/>
    </w:rPr>
  </w:style>
  <w:style w:type="paragraph" w:styleId="CommentText">
    <w:name w:val="annotation text"/>
    <w:basedOn w:val="Normal"/>
    <w:link w:val="CommentTextChar"/>
    <w:qFormat/>
    <w:rsid w:val="000E16C2"/>
    <w:rPr>
      <w:sz w:val="20"/>
      <w:szCs w:val="20"/>
    </w:rPr>
  </w:style>
  <w:style w:type="paragraph" w:styleId="CommentSubject">
    <w:name w:val="annotation subject"/>
    <w:basedOn w:val="CommentText"/>
    <w:next w:val="CommentText"/>
    <w:link w:val="CommentSubjectChar"/>
    <w:qFormat/>
    <w:rsid w:val="000E16C2"/>
    <w:rPr>
      <w:b/>
      <w:bCs/>
    </w:rPr>
  </w:style>
  <w:style w:type="paragraph" w:styleId="ListParagraph">
    <w:name w:val="List Paragraph"/>
    <w:basedOn w:val="Normal"/>
    <w:uiPriority w:val="34"/>
    <w:qFormat/>
    <w:rsid w:val="00776E8F"/>
    <w:pPr>
      <w:ind w:left="720"/>
    </w:pPr>
    <w:rPr>
      <w:rFonts w:ascii="Calibri" w:eastAsia="Calibri" w:hAnsi="Calibri"/>
      <w:sz w:val="22"/>
      <w:szCs w:val="22"/>
      <w:lang w:eastAsia="en-US"/>
    </w:rPr>
  </w:style>
  <w:style w:type="paragraph" w:customStyle="1" w:styleId="xmsonormal">
    <w:name w:val="x_msonormal"/>
    <w:basedOn w:val="Normal"/>
    <w:qFormat/>
    <w:rsid w:val="007E1DD8"/>
    <w:pPr>
      <w:spacing w:beforeAutospacing="1" w:afterAutospacing="1"/>
    </w:pPr>
  </w:style>
  <w:style w:type="paragraph" w:styleId="NormalWeb">
    <w:name w:val="Normal (Web)"/>
    <w:basedOn w:val="Normal"/>
    <w:uiPriority w:val="99"/>
    <w:unhideWhenUsed/>
    <w:qFormat/>
    <w:rsid w:val="003A72F9"/>
    <w:pPr>
      <w:spacing w:beforeAutospacing="1" w:afterAutospacing="1"/>
    </w:pPr>
  </w:style>
  <w:style w:type="paragraph" w:styleId="Revision">
    <w:name w:val="Revision"/>
    <w:uiPriority w:val="99"/>
    <w:semiHidden/>
    <w:qFormat/>
    <w:rsid w:val="00807CC6"/>
    <w:rPr>
      <w:sz w:val="24"/>
      <w:szCs w:val="24"/>
      <w:lang w:val="hr-HR" w:eastAsia="hr-HR"/>
    </w:rPr>
  </w:style>
  <w:style w:type="table" w:styleId="TableGrid">
    <w:name w:val="Table Grid"/>
    <w:basedOn w:val="TableNormal"/>
    <w:rsid w:val="0048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7753"/>
    <w:pPr>
      <w:suppressAutoHyphens w:val="0"/>
      <w:autoSpaceDE w:val="0"/>
      <w:autoSpaceDN w:val="0"/>
      <w:adjustRightInd w:val="0"/>
    </w:pPr>
    <w:rPr>
      <w:color w:val="000000"/>
      <w:sz w:val="24"/>
      <w:szCs w:val="24"/>
      <w:lang w:val="hr-H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CDB1BAFF1FC4EB34A2ECA4BC20F1B" ma:contentTypeVersion="6" ma:contentTypeDescription="Create a new document." ma:contentTypeScope="" ma:versionID="184264440acaeb2102ae542d7242cafa">
  <xsd:schema xmlns:xsd="http://www.w3.org/2001/XMLSchema" xmlns:xs="http://www.w3.org/2001/XMLSchema" xmlns:p="http://schemas.microsoft.com/office/2006/metadata/properties" xmlns:ns2="f6283777-e69b-4f43-a57b-7823f895c166" xmlns:ns3="bbdc94e7-90a4-468d-b1ea-40f68bc983f5" targetNamespace="http://schemas.microsoft.com/office/2006/metadata/properties" ma:root="true" ma:fieldsID="4ce2586f150e5702fe62612acfab8028" ns2:_="" ns3:_="">
    <xsd:import namespace="f6283777-e69b-4f43-a57b-7823f895c166"/>
    <xsd:import namespace="bbdc94e7-90a4-468d-b1ea-40f68bc983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83777-e69b-4f43-a57b-7823f895c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dc94e7-90a4-468d-b1ea-40f68bc983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6CA11-B94C-46BE-A20E-5BF5AF1B2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83777-e69b-4f43-a57b-7823f895c166"/>
    <ds:schemaRef ds:uri="bbdc94e7-90a4-468d-b1ea-40f68bc98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2F23FE-E185-4E21-8ECC-62357FD131B4}">
  <ds:schemaRefs>
    <ds:schemaRef ds:uri="http://schemas.openxmlformats.org/officeDocument/2006/bibliography"/>
  </ds:schemaRefs>
</ds:datastoreItem>
</file>

<file path=customXml/itemProps3.xml><?xml version="1.0" encoding="utf-8"?>
<ds:datastoreItem xmlns:ds="http://schemas.openxmlformats.org/officeDocument/2006/customXml" ds:itemID="{E1E59432-1CBE-4467-86B1-A4C4AED31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1751</Words>
  <Characters>9987</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OBRAZAC</vt:lpstr>
      <vt:lpstr>OBRAZAC</vt:lpstr>
    </vt:vector>
  </TitlesOfParts>
  <Company>Grad Zagreb</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dc:title>
  <dc:subject/>
  <dc:creator>Aleksandra Grubić Jureško</dc:creator>
  <dc:description/>
  <cp:lastModifiedBy>Aleksandra Grubić Jureško</cp:lastModifiedBy>
  <cp:revision>23</cp:revision>
  <cp:lastPrinted>2023-05-09T16:23:00Z</cp:lastPrinted>
  <dcterms:created xsi:type="dcterms:W3CDTF">2024-11-04T07:59:00Z</dcterms:created>
  <dcterms:modified xsi:type="dcterms:W3CDTF">2024-11-04T10:02:00Z</dcterms:modified>
  <dc:language>hr-HR</dc:language>
</cp:coreProperties>
</file>